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xml" ContentType="application/xml"/>
  <Default Extension="png" ContentType="image/png"/>
  <Default Extension="wmf" ContentType="image/x-wmf"/>
  <Override PartName="/word/document.xml" ContentType="application/vnd.openxmlformats-officedocument.wordprocessingml.document.main+xml"/>
  <Override PartName="/word/styles.xml" ContentType="application/vnd.openxmlformats-officedocument.wordprocessingml.styl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settings.xml" ContentType="application/vnd.openxmlformats-officedocument.wordprocessingml.settings+xml"/>
  <Override PartName="/word/numbering.xml" ContentType="application/vnd.openxmlformats-officedocument.wordprocessingml.numbering+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docProps/app.xml" ContentType="application/vnd.openxmlformats-officedocument.extended-properties+xml"/>
  <Override PartName="/docProps/core.xml" ContentType="application/vnd.openxmlformats-package.core-properti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xmlns:w10="urn:schemas-microsoft-com:office:wor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body>
    <w:p>
      <w:pPr>
        <w:pBdr/>
        <w:spacing w:before="2400"/>
        <w:ind/>
        <w:rPr/>
      </w:pPr>
      <w:r/>
      <w:r/>
    </w:p>
    <w:p>
      <w:pPr>
        <w:pBdr/>
        <w:spacing w:after="200"/>
        <w:ind/>
        <w:jc w:val="center"/>
        <w:rPr/>
      </w:pPr>
      <w:r>
        <w:rPr>
          <w:color w:val="595959"/>
          <w:sz w:val="28"/>
          <w:szCs w:val="28"/>
        </w:rPr>
        <w:t xml:space="preserve">BTS Cloud Computing</w:t>
      </w:r>
      <w:r/>
    </w:p>
    <w:p>
      <w:pPr>
        <w:pBdr/>
        <w:spacing w:after="200"/>
        <w:ind/>
        <w:jc w:val="center"/>
        <w:rPr/>
      </w:pPr>
      <w:r>
        <w:rPr>
          <w:i/>
          <w:iCs/>
          <w:color w:val="595959"/>
          <w:sz w:val="24"/>
          <w:szCs w:val="24"/>
        </w:rPr>
        <w:t xml:space="preserve">VIRCL — Virtualisation Project</w:t>
      </w:r>
      <w:r/>
    </w:p>
    <w:p>
      <w:pPr>
        <w:pBdr/>
        <w:spacing w:after="400" w:before="1200"/>
        <w:ind/>
        <w:jc w:val="center"/>
        <w:rPr/>
      </w:pPr>
      <w:r>
        <w:rPr>
          <w:b/>
          <w:bCs/>
          <w:color w:val="1f3864"/>
          <w:sz w:val="56"/>
          <w:szCs w:val="56"/>
        </w:rPr>
        <w:t xml:space="preserve">Server Virtualisation Systems</w:t>
      </w:r>
      <w:r/>
    </w:p>
    <w:p>
      <w:pPr>
        <w:pBdr/>
        <w:spacing w:after="200"/>
        <w:ind/>
        <w:jc w:val="center"/>
        <w:rPr/>
      </w:pPr>
      <w:r>
        <w:rPr>
          <w:color w:val="1f3864"/>
          <w:sz w:val="28"/>
          <w:szCs w:val="28"/>
        </w:rPr>
        <w:t xml:space="preserve">Implementation and Comparison of</w:t>
      </w:r>
      <w:r/>
    </w:p>
    <w:p>
      <w:pPr>
        <w:pBdr/>
        <w:spacing w:after="800"/>
        <w:ind/>
        <w:jc w:val="center"/>
        <w:rPr/>
      </w:pPr>
      <w:r>
        <w:rPr>
          <w:color w:val="1f3864"/>
          <w:sz w:val="28"/>
          <w:szCs w:val="28"/>
        </w:rPr>
        <w:t xml:space="preserve">Proxmox VE and VMware ESXi</w:t>
      </w:r>
      <w:r/>
    </w:p>
    <w:p>
      <w:pPr>
        <w:pBdr/>
        <w:spacing w:after="200" w:before="600"/>
        <w:ind/>
        <w:jc w:val="center"/>
        <w:rPr/>
      </w:pPr>
      <w:r>
        <w:rPr>
          <w:i/>
          <w:iCs/>
          <w:color w:val="2e74b5"/>
          <w:sz w:val="24"/>
          <w:szCs w:val="24"/>
        </w:rPr>
        <w:t xml:space="preserve">Specialisation: High Availability</w:t>
      </w:r>
      <w:r/>
    </w:p>
    <w:p>
      <w:pPr>
        <w:pBdr/>
        <w:spacing w:after="200" w:before="2400"/>
        <w:ind/>
        <w:jc w:val="center"/>
        <w:rPr/>
      </w:pPr>
      <w:r>
        <w:rPr>
          <w:sz w:val="22"/>
          <w:szCs w:val="22"/>
        </w:rPr>
        <w:t xml:space="preserve">Author: Simon Max</w:t>
      </w:r>
      <w:r>
        <w:rPr>
          <w:sz w:val="22"/>
          <w:szCs w:val="22"/>
          <w:lang w:val="en-GB"/>
        </w:rPr>
        <w:t xml:space="preserve">, Eric Wurth, Sven Kugener</w:t>
      </w:r>
      <w:r/>
    </w:p>
    <w:p>
      <w:pPr>
        <w:pBdr/>
        <w:spacing w:after="200"/>
        <w:ind/>
        <w:jc w:val="center"/>
        <w:rPr/>
      </w:pPr>
      <w:r>
        <w:rPr>
          <w:sz w:val="22"/>
          <w:szCs w:val="22"/>
        </w:rPr>
        <w:t xml:space="preserve">Lycée Guillaume Kroll</w:t>
      </w:r>
      <w:r/>
    </w:p>
    <w:p>
      <w:pPr>
        <w:pBdr/>
        <w:spacing w:after="200"/>
        <w:ind/>
        <w:jc w:val="center"/>
        <w:rPr/>
      </w:pPr>
      <w:r>
        <w:rPr>
          <w:sz w:val="22"/>
          <w:szCs w:val="22"/>
        </w:rPr>
        <w:t xml:space="preserve">June 2026</w:t>
      </w:r>
      <w:r/>
    </w:p>
    <w:p>
      <w:pPr>
        <w:pStyle w:val="827"/>
        <w:pageBreakBefore w:val="true"/>
        <w:pBdr/>
        <w:spacing/>
        <w:ind/>
        <w:rPr/>
      </w:pPr>
      <w:r>
        <w:t xml:space="preserve">Table of Contents</w:t>
      </w:r>
      <w:r/>
    </w:p>
    <w:sdt>
      <w:sdtPr>
        <w:alias w:val="Table of Contents"/>
        <w15:appearance w15:val="boundingBox"/>
        <w:rPr/>
      </w:sdtPr>
      <w:sdtContent>
        <w:p>
          <w:pPr>
            <w:pBdr/>
            <w:spacing/>
            <w:ind/>
            <w:rPr/>
          </w:pPr>
          <w:r>
            <w:fldChar w:fldCharType="begin"/>
            <w:instrText xml:space="preserve">TOC \h \o "1-3"</w:instrText>
            <w:fldChar w:fldCharType="separate"/>
          </w:r>
          <w:r/>
        </w:p>
        <w:p>
          <w:pPr>
            <w:pBdr/>
            <w:spacing/>
            <w:ind/>
            <w:rPr/>
          </w:pPr>
          <w:r>
            <w:fldChar w:fldCharType="end"/>
          </w:r>
          <w:r/>
        </w:p>
      </w:sdtContent>
    </w:sdt>
    <w:p>
      <w:pPr>
        <w:pStyle w:val="827"/>
        <w:pageBreakBefore w:val="true"/>
        <w:pBdr/>
        <w:spacing/>
        <w:ind/>
        <w:rPr/>
      </w:pPr>
      <w:r>
        <w:t xml:space="preserve">Introduction</w:t>
      </w:r>
      <w:r/>
    </w:p>
    <w:p>
      <w:pPr>
        <w:pBdr/>
        <w:spacing w:after="120"/>
        <w:ind/>
        <w:rPr/>
      </w:pPr>
      <w:r>
        <w:t xml:space="preserve">Server virtualisation has become a cornerstone of modern IT infrastructure. Where previously each service required it</w:t>
      </w:r>
      <w:r>
        <w:t xml:space="preserve">s own dedicated hardware, virtualisation enables system administrators to share the resources of a single physical server across several isolated virtual machines, dramatically improving energy efficiency, hardware utilisation, and operational flexibility.</w:t>
      </w:r>
      <w:r/>
    </w:p>
    <w:p>
      <w:pPr>
        <w:pBdr/>
        <w:spacing w:after="120"/>
        <w:ind/>
        <w:rPr/>
      </w:pPr>
      <w:r>
        <w:t xml:space="preserve">This documentation describes the practical implementation of a full server virtualisation environment using two leading type 1 hypervisors:</w:t>
      </w:r>
      <w:r/>
    </w:p>
    <w:p>
      <w:pPr>
        <w:pStyle w:val="819"/>
        <w:numPr>
          <w:ilvl w:val="0"/>
          <w:numId w:val="2"/>
        </w:numPr>
        <w:pBdr/>
        <w:spacing/>
        <w:ind/>
        <w:rPr/>
      </w:pPr>
      <w:r>
        <w:rPr>
          <w:b/>
          <w:bCs/>
        </w:rPr>
        <w:t xml:space="preserve">Proxmox VE</w:t>
      </w:r>
      <w:r>
        <w:t xml:space="preserve"> — an open-source virtualisation platform supported by a strong community.</w:t>
      </w:r>
      <w:r/>
    </w:p>
    <w:p>
      <w:pPr>
        <w:pStyle w:val="819"/>
        <w:numPr>
          <w:ilvl w:val="0"/>
          <w:numId w:val="2"/>
        </w:numPr>
        <w:pBdr/>
        <w:spacing/>
        <w:ind/>
        <w:rPr/>
      </w:pPr>
      <w:r>
        <w:rPr>
          <w:b/>
          <w:bCs/>
        </w:rPr>
        <w:t xml:space="preserve">VMware ESXi (vSphere 8)</w:t>
      </w:r>
      <w:r>
        <w:t xml:space="preserve"> — the industry-leading commercial virtualisation product.</w:t>
      </w:r>
      <w:r/>
    </w:p>
    <w:p>
      <w:pPr>
        <w:pBdr/>
        <w:spacing/>
        <w:ind/>
        <w:rPr/>
      </w:pPr>
      <w:r/>
      <w:r/>
    </w:p>
    <w:p>
      <w:pPr>
        <w:pBdr/>
        <w:spacing w:after="120"/>
        <w:ind/>
        <w:rPr/>
      </w:pPr>
      <w:r>
        <w:t xml:space="preserve">For each feature required by the project specification, both hypervisors are implemented and compar</w:t>
      </w:r>
      <w:r>
        <w:t xml:space="preserve">ed. The documentation also covers the specialisation topic chosen by the team — High Availability — which is explained conceptually and demonstrated practically on the VMware ESXi platform within a three-host vSphere cluster backed by shared iSCSI storage.</w:t>
      </w:r>
      <w:r/>
    </w:p>
    <w:p>
      <w:pPr>
        <w:pBdr/>
        <w:spacing/>
        <w:ind/>
        <w:rPr/>
      </w:pPr>
      <w:r/>
      <w:r/>
    </w:p>
    <w:p>
      <w:pPr>
        <w:pStyle w:val="828"/>
        <w:pBdr/>
        <w:spacing/>
        <w:ind/>
        <w:rPr/>
      </w:pPr>
      <w:r>
        <w:t xml:space="preserve">Environment Overview</w:t>
      </w:r>
      <w:r/>
    </w:p>
    <w:p>
      <w:pPr>
        <w:pBdr/>
        <w:spacing w:after="120"/>
        <w:ind/>
        <w:rPr/>
      </w:pPr>
      <w:r>
        <w:t xml:space="preserve">The physical lab environment consists of HP ProLiant servers managed via Integrated Lights-Out (iLO 5) interfaces, connected to a shared TrueNAS Community Edition storage server providing iSCSI block storage.</w:t>
      </w:r>
      <w:r/>
    </w:p>
    <w:tbl>
      <w:tblPr>
        <w:tblW w:w="936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120"/>
        <w:gridCol w:w="6240"/>
      </w:tblGrid>
      <w:tr>
        <w:trPr/>
        <w:tc>
          <w:tcPr>
            <w:shd w:val="clear" w:color="auto" w:fill="2e74b5"/>
            <w:tcBorders>
              <w:top w:val="single" w:color="cccccc" w:sz="4" w:space="0"/>
              <w:left w:val="single" w:color="cccccc" w:sz="4" w:space="0"/>
              <w:bottom w:val="single" w:color="cccccc" w:sz="4" w:space="0"/>
              <w:right w:val="single" w:color="cccccc" w:sz="4" w:space="0"/>
            </w:tcBorders>
            <w:tcMar>
              <w:left w:w="120" w:type="dxa"/>
              <w:top w:w="80" w:type="dxa"/>
              <w:right w:w="120" w:type="dxa"/>
              <w:bottom w:w="80" w:type="dxa"/>
            </w:tcMar>
            <w:tcW w:w="3120" w:type="dxa"/>
            <w:textDirection w:val="lrTb"/>
            <w:noWrap w:val="false"/>
          </w:tcPr>
          <w:p>
            <w:pPr>
              <w:pBdr/>
              <w:spacing/>
              <w:ind/>
              <w:rPr/>
            </w:pPr>
            <w:r>
              <w:rPr>
                <w:b/>
                <w:bCs/>
                <w:color w:val="ffffff"/>
              </w:rPr>
              <w:t xml:space="preserve">Component</w:t>
            </w:r>
            <w:r/>
          </w:p>
        </w:tc>
        <w:tc>
          <w:tcPr>
            <w:shd w:val="clear" w:color="auto" w:fill="2e74b5"/>
            <w:tcBorders>
              <w:top w:val="single" w:color="cccccc" w:sz="4" w:space="0"/>
              <w:left w:val="single" w:color="cccccc" w:sz="4" w:space="0"/>
              <w:bottom w:val="single" w:color="cccccc" w:sz="4" w:space="0"/>
              <w:right w:val="single" w:color="cccccc" w:sz="4" w:space="0"/>
            </w:tcBorders>
            <w:tcMar>
              <w:left w:w="120" w:type="dxa"/>
              <w:top w:w="80" w:type="dxa"/>
              <w:right w:w="120" w:type="dxa"/>
              <w:bottom w:w="80" w:type="dxa"/>
            </w:tcMar>
            <w:tcW w:w="6240" w:type="dxa"/>
            <w:textDirection w:val="lrTb"/>
            <w:noWrap w:val="false"/>
          </w:tcPr>
          <w:p>
            <w:pPr>
              <w:pBdr/>
              <w:spacing/>
              <w:ind/>
              <w:rPr/>
            </w:pPr>
            <w:r>
              <w:rPr>
                <w:b/>
                <w:bCs/>
                <w:color w:val="ffffff"/>
              </w:rPr>
              <w:t xml:space="preserve">Details</w:t>
            </w:r>
            <w:r/>
          </w:p>
        </w:tc>
      </w:tr>
      <w:tr>
        <w:trPr/>
        <w:tc>
          <w:tcPr>
            <w:tcBorders>
              <w:top w:val="single" w:color="cccccc" w:sz="4" w:space="0"/>
              <w:left w:val="single" w:color="cccccc" w:sz="4" w:space="0"/>
              <w:bottom w:val="single" w:color="cccccc" w:sz="4" w:space="0"/>
              <w:right w:val="single" w:color="cccccc" w:sz="4" w:space="0"/>
            </w:tcBorders>
            <w:tcMar>
              <w:left w:w="120" w:type="dxa"/>
              <w:top w:w="80" w:type="dxa"/>
              <w:right w:w="120" w:type="dxa"/>
              <w:bottom w:w="80" w:type="dxa"/>
            </w:tcMar>
            <w:tcW w:w="3120" w:type="dxa"/>
            <w:textDirection w:val="lrTb"/>
            <w:noWrap w:val="false"/>
          </w:tcPr>
          <w:p>
            <w:pPr>
              <w:pBdr/>
              <w:spacing/>
              <w:ind/>
              <w:rPr/>
            </w:pPr>
            <w:r>
              <w:rPr>
                <w:b w:val="0"/>
                <w:bCs w:val="0"/>
              </w:rPr>
              <w:t xml:space="preserve">vCenter Server</w:t>
            </w:r>
            <w:r/>
          </w:p>
        </w:tc>
        <w:tc>
          <w:tcPr>
            <w:tcBorders>
              <w:top w:val="single" w:color="cccccc" w:sz="4" w:space="0"/>
              <w:left w:val="single" w:color="cccccc" w:sz="4" w:space="0"/>
              <w:bottom w:val="single" w:color="cccccc" w:sz="4" w:space="0"/>
              <w:right w:val="single" w:color="cccccc" w:sz="4" w:space="0"/>
            </w:tcBorders>
            <w:tcMar>
              <w:left w:w="120" w:type="dxa"/>
              <w:top w:w="80" w:type="dxa"/>
              <w:right w:w="120" w:type="dxa"/>
              <w:bottom w:w="80" w:type="dxa"/>
            </w:tcMar>
            <w:tcW w:w="6240" w:type="dxa"/>
            <w:textDirection w:val="lrTb"/>
            <w:noWrap w:val="false"/>
          </w:tcPr>
          <w:p>
            <w:pPr>
              <w:pBdr/>
              <w:spacing/>
              <w:ind/>
              <w:rPr/>
            </w:pPr>
            <w:r>
              <w:rPr>
                <w:b w:val="0"/>
                <w:bCs w:val="0"/>
              </w:rPr>
              <w:t xml:space="preserve">10.0.10.119 (VCSA 8.0 U2)</w:t>
            </w:r>
            <w:r/>
          </w:p>
        </w:tc>
      </w:tr>
      <w:tr>
        <w:trPr/>
        <w:tc>
          <w:tcPr>
            <w:tcBorders>
              <w:top w:val="single" w:color="cccccc" w:sz="4" w:space="0"/>
              <w:left w:val="single" w:color="cccccc" w:sz="4" w:space="0"/>
              <w:bottom w:val="single" w:color="cccccc" w:sz="4" w:space="0"/>
              <w:right w:val="single" w:color="cccccc" w:sz="4" w:space="0"/>
            </w:tcBorders>
            <w:tcMar>
              <w:left w:w="120" w:type="dxa"/>
              <w:top w:w="80" w:type="dxa"/>
              <w:right w:w="120" w:type="dxa"/>
              <w:bottom w:w="80" w:type="dxa"/>
            </w:tcMar>
            <w:tcW w:w="3120" w:type="dxa"/>
            <w:textDirection w:val="lrTb"/>
            <w:noWrap w:val="false"/>
          </w:tcPr>
          <w:p>
            <w:pPr>
              <w:pBdr/>
              <w:spacing/>
              <w:ind/>
              <w:rPr/>
            </w:pPr>
            <w:r>
              <w:rPr>
                <w:b w:val="0"/>
                <w:bCs w:val="0"/>
              </w:rPr>
              <w:t xml:space="preserve">ESXi Host 1</w:t>
            </w:r>
            <w:r/>
          </w:p>
        </w:tc>
        <w:tc>
          <w:tcPr>
            <w:tcBorders>
              <w:top w:val="single" w:color="cccccc" w:sz="4" w:space="0"/>
              <w:left w:val="single" w:color="cccccc" w:sz="4" w:space="0"/>
              <w:bottom w:val="single" w:color="cccccc" w:sz="4" w:space="0"/>
              <w:right w:val="single" w:color="cccccc" w:sz="4" w:space="0"/>
            </w:tcBorders>
            <w:tcMar>
              <w:left w:w="120" w:type="dxa"/>
              <w:top w:w="80" w:type="dxa"/>
              <w:right w:w="120" w:type="dxa"/>
              <w:bottom w:w="80" w:type="dxa"/>
            </w:tcMar>
            <w:tcW w:w="6240" w:type="dxa"/>
            <w:textDirection w:val="lrTb"/>
            <w:noWrap w:val="false"/>
          </w:tcPr>
          <w:p>
            <w:pPr>
              <w:pBdr/>
              <w:spacing/>
              <w:ind/>
              <w:rPr/>
            </w:pPr>
            <w:r>
              <w:rPr>
                <w:b w:val="0"/>
                <w:bCs w:val="0"/>
              </w:rPr>
              <w:t xml:space="preserve">10.0.10.96</w:t>
            </w:r>
            <w:r/>
          </w:p>
        </w:tc>
      </w:tr>
      <w:tr>
        <w:trPr/>
        <w:tc>
          <w:tcPr>
            <w:tcBorders>
              <w:top w:val="single" w:color="cccccc" w:sz="4" w:space="0"/>
              <w:left w:val="single" w:color="cccccc" w:sz="4" w:space="0"/>
              <w:bottom w:val="single" w:color="cccccc" w:sz="4" w:space="0"/>
              <w:right w:val="single" w:color="cccccc" w:sz="4" w:space="0"/>
            </w:tcBorders>
            <w:tcMar>
              <w:left w:w="120" w:type="dxa"/>
              <w:top w:w="80" w:type="dxa"/>
              <w:right w:w="120" w:type="dxa"/>
              <w:bottom w:w="80" w:type="dxa"/>
            </w:tcMar>
            <w:tcW w:w="3120" w:type="dxa"/>
            <w:textDirection w:val="lrTb"/>
            <w:noWrap w:val="false"/>
          </w:tcPr>
          <w:p>
            <w:pPr>
              <w:pBdr/>
              <w:spacing/>
              <w:ind/>
              <w:rPr/>
            </w:pPr>
            <w:r>
              <w:rPr>
                <w:b w:val="0"/>
                <w:bCs w:val="0"/>
              </w:rPr>
              <w:t xml:space="preserve">ESXi Host 2</w:t>
            </w:r>
            <w:r/>
          </w:p>
        </w:tc>
        <w:tc>
          <w:tcPr>
            <w:tcBorders>
              <w:top w:val="single" w:color="cccccc" w:sz="4" w:space="0"/>
              <w:left w:val="single" w:color="cccccc" w:sz="4" w:space="0"/>
              <w:bottom w:val="single" w:color="cccccc" w:sz="4" w:space="0"/>
              <w:right w:val="single" w:color="cccccc" w:sz="4" w:space="0"/>
            </w:tcBorders>
            <w:tcMar>
              <w:left w:w="120" w:type="dxa"/>
              <w:top w:w="80" w:type="dxa"/>
              <w:right w:w="120" w:type="dxa"/>
              <w:bottom w:w="80" w:type="dxa"/>
            </w:tcMar>
            <w:tcW w:w="6240" w:type="dxa"/>
            <w:textDirection w:val="lrTb"/>
            <w:noWrap w:val="false"/>
          </w:tcPr>
          <w:p>
            <w:pPr>
              <w:pBdr/>
              <w:spacing/>
              <w:ind/>
              <w:rPr/>
            </w:pPr>
            <w:r>
              <w:rPr>
                <w:b w:val="0"/>
                <w:bCs w:val="0"/>
              </w:rPr>
              <w:t xml:space="preserve">10.0.10.111</w:t>
            </w:r>
            <w:r/>
          </w:p>
        </w:tc>
      </w:tr>
      <w:tr>
        <w:trPr/>
        <w:tc>
          <w:tcPr>
            <w:tcBorders>
              <w:top w:val="single" w:color="cccccc" w:sz="4" w:space="0"/>
              <w:left w:val="single" w:color="cccccc" w:sz="4" w:space="0"/>
              <w:bottom w:val="single" w:color="cccccc" w:sz="4" w:space="0"/>
              <w:right w:val="single" w:color="cccccc" w:sz="4" w:space="0"/>
            </w:tcBorders>
            <w:tcMar>
              <w:left w:w="120" w:type="dxa"/>
              <w:top w:w="80" w:type="dxa"/>
              <w:right w:w="120" w:type="dxa"/>
              <w:bottom w:w="80" w:type="dxa"/>
            </w:tcMar>
            <w:tcW w:w="3120" w:type="dxa"/>
            <w:textDirection w:val="lrTb"/>
            <w:noWrap w:val="false"/>
          </w:tcPr>
          <w:p>
            <w:pPr>
              <w:pBdr/>
              <w:spacing/>
              <w:ind/>
              <w:rPr/>
            </w:pPr>
            <w:r>
              <w:rPr>
                <w:b w:val="0"/>
                <w:bCs w:val="0"/>
              </w:rPr>
              <w:t xml:space="preserve">ESXi Host 3</w:t>
            </w:r>
            <w:r/>
          </w:p>
        </w:tc>
        <w:tc>
          <w:tcPr>
            <w:tcBorders>
              <w:top w:val="single" w:color="cccccc" w:sz="4" w:space="0"/>
              <w:left w:val="single" w:color="cccccc" w:sz="4" w:space="0"/>
              <w:bottom w:val="single" w:color="cccccc" w:sz="4" w:space="0"/>
              <w:right w:val="single" w:color="cccccc" w:sz="4" w:space="0"/>
            </w:tcBorders>
            <w:tcMar>
              <w:left w:w="120" w:type="dxa"/>
              <w:top w:w="80" w:type="dxa"/>
              <w:right w:w="120" w:type="dxa"/>
              <w:bottom w:w="80" w:type="dxa"/>
            </w:tcMar>
            <w:tcW w:w="6240" w:type="dxa"/>
            <w:textDirection w:val="lrTb"/>
            <w:noWrap w:val="false"/>
          </w:tcPr>
          <w:p>
            <w:pPr>
              <w:pBdr/>
              <w:spacing/>
              <w:ind/>
              <w:rPr/>
            </w:pPr>
            <w:r>
              <w:rPr>
                <w:b w:val="0"/>
                <w:bCs w:val="0"/>
              </w:rPr>
              <w:t xml:space="preserve">10.0.10.121</w:t>
            </w:r>
            <w:r/>
          </w:p>
        </w:tc>
      </w:tr>
      <w:tr>
        <w:trPr/>
        <w:tc>
          <w:tcPr>
            <w:tcBorders>
              <w:top w:val="single" w:color="cccccc" w:sz="4" w:space="0"/>
              <w:left w:val="single" w:color="cccccc" w:sz="4" w:space="0"/>
              <w:bottom w:val="single" w:color="cccccc" w:sz="4" w:space="0"/>
              <w:right w:val="single" w:color="cccccc" w:sz="4" w:space="0"/>
            </w:tcBorders>
            <w:tcMar>
              <w:left w:w="120" w:type="dxa"/>
              <w:top w:w="80" w:type="dxa"/>
              <w:right w:w="120" w:type="dxa"/>
              <w:bottom w:w="80" w:type="dxa"/>
            </w:tcMar>
            <w:tcW w:w="3120" w:type="dxa"/>
            <w:textDirection w:val="lrTb"/>
            <w:noWrap w:val="false"/>
          </w:tcPr>
          <w:p>
            <w:pPr>
              <w:pBdr/>
              <w:spacing/>
              <w:ind/>
              <w:rPr/>
            </w:pPr>
            <w:r>
              <w:rPr>
                <w:b w:val="0"/>
                <w:bCs w:val="0"/>
              </w:rPr>
              <w:t xml:space="preserve">Proxmox VE Host</w:t>
            </w:r>
            <w:r/>
          </w:p>
        </w:tc>
        <w:tc>
          <w:tcPr>
            <w:tcBorders>
              <w:top w:val="single" w:color="cccccc" w:sz="4" w:space="0"/>
              <w:left w:val="single" w:color="cccccc" w:sz="4" w:space="0"/>
              <w:bottom w:val="single" w:color="cccccc" w:sz="4" w:space="0"/>
              <w:right w:val="single" w:color="cccccc" w:sz="4" w:space="0"/>
            </w:tcBorders>
            <w:tcMar>
              <w:left w:w="120" w:type="dxa"/>
              <w:top w:w="80" w:type="dxa"/>
              <w:right w:w="120" w:type="dxa"/>
              <w:bottom w:w="80" w:type="dxa"/>
            </w:tcMar>
            <w:tcW w:w="6240" w:type="dxa"/>
            <w:textDirection w:val="lrTb"/>
            <w:noWrap w:val="false"/>
          </w:tcPr>
          <w:p>
            <w:pPr>
              <w:pBdr/>
              <w:spacing/>
              <w:ind/>
              <w:rPr/>
            </w:pPr>
            <w:r>
              <w:rPr>
                <w:b w:val="0"/>
                <w:bCs w:val="0"/>
              </w:rPr>
              <w:t xml:space="preserve">10.0.10.101</w:t>
            </w:r>
            <w:r/>
          </w:p>
        </w:tc>
      </w:tr>
      <w:tr>
        <w:trPr/>
        <w:tc>
          <w:tcPr>
            <w:tcBorders>
              <w:top w:val="single" w:color="cccccc" w:sz="4" w:space="0"/>
              <w:left w:val="single" w:color="cccccc" w:sz="4" w:space="0"/>
              <w:bottom w:val="single" w:color="cccccc" w:sz="4" w:space="0"/>
              <w:right w:val="single" w:color="cccccc" w:sz="4" w:space="0"/>
            </w:tcBorders>
            <w:tcMar>
              <w:left w:w="120" w:type="dxa"/>
              <w:top w:w="80" w:type="dxa"/>
              <w:right w:w="120" w:type="dxa"/>
              <w:bottom w:w="80" w:type="dxa"/>
            </w:tcMar>
            <w:tcW w:w="3120" w:type="dxa"/>
            <w:textDirection w:val="lrTb"/>
            <w:noWrap w:val="false"/>
          </w:tcPr>
          <w:p>
            <w:pPr>
              <w:pBdr/>
              <w:spacing/>
              <w:ind/>
              <w:rPr/>
            </w:pPr>
            <w:r>
              <w:rPr>
                <w:b w:val="0"/>
                <w:bCs w:val="0"/>
              </w:rPr>
              <w:t xml:space="preserve">TrueNAS Server</w:t>
            </w:r>
            <w:r/>
          </w:p>
        </w:tc>
        <w:tc>
          <w:tcPr>
            <w:tcBorders>
              <w:top w:val="single" w:color="cccccc" w:sz="4" w:space="0"/>
              <w:left w:val="single" w:color="cccccc" w:sz="4" w:space="0"/>
              <w:bottom w:val="single" w:color="cccccc" w:sz="4" w:space="0"/>
              <w:right w:val="single" w:color="cccccc" w:sz="4" w:space="0"/>
            </w:tcBorders>
            <w:tcMar>
              <w:left w:w="120" w:type="dxa"/>
              <w:top w:w="80" w:type="dxa"/>
              <w:right w:w="120" w:type="dxa"/>
              <w:bottom w:w="80" w:type="dxa"/>
            </w:tcMar>
            <w:tcW w:w="6240" w:type="dxa"/>
            <w:textDirection w:val="lrTb"/>
            <w:noWrap w:val="false"/>
          </w:tcPr>
          <w:p>
            <w:pPr>
              <w:pBdr/>
              <w:spacing/>
              <w:ind/>
              <w:rPr/>
            </w:pPr>
            <w:r>
              <w:rPr>
                <w:b w:val="0"/>
                <w:bCs w:val="0"/>
              </w:rPr>
              <w:t xml:space="preserve">10.0.13.3 (Community Edition)</w:t>
            </w:r>
            <w:r/>
          </w:p>
        </w:tc>
      </w:tr>
      <w:tr>
        <w:trPr/>
        <w:tc>
          <w:tcPr>
            <w:tcBorders>
              <w:top w:val="single" w:color="cccccc" w:sz="4" w:space="0"/>
              <w:left w:val="single" w:color="cccccc" w:sz="4" w:space="0"/>
              <w:bottom w:val="single" w:color="cccccc" w:sz="4" w:space="0"/>
              <w:right w:val="single" w:color="cccccc" w:sz="4" w:space="0"/>
            </w:tcBorders>
            <w:tcMar>
              <w:left w:w="120" w:type="dxa"/>
              <w:top w:w="80" w:type="dxa"/>
              <w:right w:w="120" w:type="dxa"/>
              <w:bottom w:w="80" w:type="dxa"/>
            </w:tcMar>
            <w:tcW w:w="3120" w:type="dxa"/>
            <w:textDirection w:val="lrTb"/>
            <w:noWrap w:val="false"/>
          </w:tcPr>
          <w:p>
            <w:pPr>
              <w:pBdr/>
              <w:spacing/>
              <w:ind/>
              <w:rPr/>
            </w:pPr>
            <w:r>
              <w:rPr>
                <w:b w:val="0"/>
                <w:bCs w:val="0"/>
              </w:rPr>
              <w:t xml:space="preserve">Storage Pool</w:t>
            </w:r>
            <w:r/>
          </w:p>
        </w:tc>
        <w:tc>
          <w:tcPr>
            <w:tcBorders>
              <w:top w:val="single" w:color="cccccc" w:sz="4" w:space="0"/>
              <w:left w:val="single" w:color="cccccc" w:sz="4" w:space="0"/>
              <w:bottom w:val="single" w:color="cccccc" w:sz="4" w:space="0"/>
              <w:right w:val="single" w:color="cccccc" w:sz="4" w:space="0"/>
            </w:tcBorders>
            <w:tcMar>
              <w:left w:w="120" w:type="dxa"/>
              <w:top w:w="80" w:type="dxa"/>
              <w:right w:w="120" w:type="dxa"/>
              <w:bottom w:w="80" w:type="dxa"/>
            </w:tcMar>
            <w:tcW w:w="6240" w:type="dxa"/>
            <w:textDirection w:val="lrTb"/>
            <w:noWrap w:val="false"/>
          </w:tcPr>
          <w:p>
            <w:pPr>
              <w:pBdr/>
              <w:spacing/>
              <w:ind/>
              <w:rPr/>
            </w:pPr>
            <w:r>
              <w:rPr>
                <w:b w:val="0"/>
                <w:bCs w:val="0"/>
              </w:rPr>
              <w:t xml:space="preserve">areca_raid5</w:t>
            </w:r>
            <w:r/>
          </w:p>
        </w:tc>
      </w:tr>
      <w:tr>
        <w:trPr/>
        <w:tc>
          <w:tcPr>
            <w:tcBorders>
              <w:top w:val="single" w:color="cccccc" w:sz="4" w:space="0"/>
              <w:left w:val="single" w:color="cccccc" w:sz="4" w:space="0"/>
              <w:bottom w:val="single" w:color="cccccc" w:sz="4" w:space="0"/>
              <w:right w:val="single" w:color="cccccc" w:sz="4" w:space="0"/>
            </w:tcBorders>
            <w:tcMar>
              <w:left w:w="120" w:type="dxa"/>
              <w:top w:w="80" w:type="dxa"/>
              <w:right w:w="120" w:type="dxa"/>
              <w:bottom w:w="80" w:type="dxa"/>
            </w:tcMar>
            <w:tcW w:w="3120" w:type="dxa"/>
            <w:textDirection w:val="lrTb"/>
            <w:noWrap w:val="false"/>
          </w:tcPr>
          <w:p>
            <w:pPr>
              <w:pBdr/>
              <w:spacing/>
              <w:ind/>
              <w:rPr/>
            </w:pPr>
            <w:r>
              <w:rPr>
                <w:b w:val="0"/>
                <w:bCs w:val="0"/>
              </w:rPr>
              <w:t xml:space="preserve">iSCSI Target</w:t>
            </w:r>
            <w:r/>
          </w:p>
        </w:tc>
        <w:tc>
          <w:tcPr>
            <w:tcBorders>
              <w:top w:val="single" w:color="cccccc" w:sz="4" w:space="0"/>
              <w:left w:val="single" w:color="cccccc" w:sz="4" w:space="0"/>
              <w:bottom w:val="single" w:color="cccccc" w:sz="4" w:space="0"/>
              <w:right w:val="single" w:color="cccccc" w:sz="4" w:space="0"/>
            </w:tcBorders>
            <w:tcMar>
              <w:left w:w="120" w:type="dxa"/>
              <w:top w:w="80" w:type="dxa"/>
              <w:right w:w="120" w:type="dxa"/>
              <w:bottom w:w="80" w:type="dxa"/>
            </w:tcMar>
            <w:tcW w:w="6240" w:type="dxa"/>
            <w:textDirection w:val="lrTb"/>
            <w:noWrap w:val="false"/>
          </w:tcPr>
          <w:p>
            <w:pPr>
              <w:pBdr/>
              <w:spacing/>
              <w:ind/>
              <w:rPr/>
            </w:pPr>
            <w:r>
              <w:rPr>
                <w:b w:val="0"/>
                <w:bCs w:val="0"/>
              </w:rPr>
              <w:t xml:space="preserve">iqn.2005-10.org.freenas.ctl:vmware</w:t>
            </w:r>
            <w:r/>
          </w:p>
        </w:tc>
      </w:tr>
    </w:tbl>
    <w:p>
      <w:pPr>
        <w:pBdr/>
        <w:spacing/>
        <w:ind/>
        <w:rPr/>
      </w:pPr>
      <w:r/>
      <w:r/>
    </w:p>
    <w:p>
      <w:pPr>
        <w:pStyle w:val="827"/>
        <w:pageBreakBefore w:val="true"/>
        <w:pBdr/>
        <w:spacing/>
        <w:ind/>
        <w:rPr/>
      </w:pPr>
      <w:r>
        <w:t xml:space="preserve">Part I — Proxmox VE Implementation</w:t>
      </w:r>
      <w:r/>
    </w:p>
    <w:p>
      <w:pPr>
        <w:pBdr/>
        <w:spacing w:after="120"/>
        <w:ind/>
        <w:rPr/>
      </w:pPr>
      <w:r>
        <w:t xml:space="preserve">This par</w:t>
      </w:r>
      <w:r>
        <w:t xml:space="preserve">t documents the implementation of all required features on the Proxmox VE hypervisor. Proxmox VE is a Debian-based open-source virtualisation platform combining KVM virtualisation and LXC container technology under a unified web-based management interface.</w:t>
      </w:r>
      <w:r/>
    </w:p>
    <w:p>
      <w:pPr>
        <w:pBdr/>
        <w:spacing/>
        <w:ind/>
        <w:rPr/>
      </w:pPr>
      <w:r/>
      <w:r/>
    </w:p>
    <w:p>
      <w:pPr>
        <w:pStyle w:val="828"/>
        <w:pBdr/>
        <w:spacing/>
        <w:ind/>
        <w:rPr/>
      </w:pPr>
      <w:r>
        <w:t xml:space="preserve">1.1  Hypervisor Installation</w:t>
      </w:r>
      <w:r/>
    </w:p>
    <w:p>
      <w:pPr>
        <w:pBdr/>
        <w:spacing w:after="120"/>
        <w:ind/>
        <w:rPr/>
      </w:pPr>
      <w:r>
        <w:t xml:space="preserve">The Proxmox VE installation is performed remotely via the HP iLO 5 management interface, which provides a virtual console to the physical server.</w:t>
      </w:r>
      <w:r/>
    </w:p>
    <w:p>
      <w:pPr>
        <w:pStyle w:val="819"/>
        <w:numPr>
          <w:ilvl w:val="0"/>
          <w:numId w:val="4"/>
        </w:numPr>
        <w:pBdr/>
        <w:spacing/>
        <w:ind/>
        <w:rPr/>
      </w:pPr>
      <w:r>
        <w:t xml:space="preserve">Connect to the iLO 5 management interface at </w:t>
      </w:r>
      <w:r>
        <w:rPr>
          <w:rFonts w:ascii="Consolas" w:hAnsi="Consolas" w:eastAsia="Consolas" w:cs="Consolas"/>
          <w:sz w:val="22"/>
          <w:szCs w:val="22"/>
        </w:rPr>
        <w:t xml:space="preserve">192.168.0.10</w:t>
      </w:r>
      <w:r>
        <w:t xml:space="preserve"> using credentials </w:t>
      </w:r>
      <w:r>
        <w:rPr>
          <w:b/>
          <w:bCs/>
        </w:rPr>
        <w:t xml:space="preserve">user: student</w:t>
      </w:r>
      <w:r>
        <w:t xml:space="preserve">, </w:t>
      </w:r>
      <w:r>
        <w:rPr>
          <w:b/>
          <w:bCs/>
        </w:rPr>
        <w:t xml:space="preserve">password: $Bt6RnWH!tgKGRJ1T!ntTf</w:t>
      </w:r>
      <w:r>
        <w:t xml:space="preserve">.</w:t>
      </w:r>
      <w:r/>
    </w:p>
    <w:p>
      <w:pPr>
        <w:pStyle w:val="819"/>
        <w:numPr>
          <w:ilvl w:val="0"/>
          <w:numId w:val="4"/>
        </w:numPr>
        <w:pBdr/>
        <w:spacing/>
        <w:ind/>
        <w:rPr/>
      </w:pPr>
      <w:r>
        <w:t xml:space="preserve">Click on Console and choose HTML5 to launch a browser-based remote console session.</w:t>
      </w:r>
      <w:r/>
    </w:p>
    <w:p>
      <w:pPr>
        <w:pStyle w:val="819"/>
        <w:numPr>
          <w:ilvl w:val="0"/>
          <w:numId w:val="4"/>
        </w:numPr>
        <w:pBdr/>
        <w:spacing/>
        <w:ind/>
        <w:rPr/>
      </w:pPr>
      <w:r>
        <w:t xml:space="preserve">In the virtual media menu, click Disk → Local → Choose ISO and mount the Proxmox VE installation ISO.</w:t>
      </w:r>
      <w:r/>
    </w:p>
    <w:p>
      <w:pPr>
        <w:pStyle w:val="819"/>
        <w:numPr>
          <w:ilvl w:val="0"/>
          <w:numId w:val="4"/>
        </w:numPr>
        <w:pBdr/>
        <w:spacing/>
        <w:ind/>
        <w:rPr/>
      </w:pPr>
      <w:r>
        <w:t xml:space="preserve">Boot the server from the mounted ISO and select "Install Proxmox VE (Graphical)".</w:t>
      </w:r>
      <w:r/>
    </w:p>
    <w:p>
      <w:pPr>
        <w:pBdr/>
        <w:spacing w:after="120" w:before="120"/>
        <w:ind/>
        <w:jc w:val="center"/>
        <w:rPr/>
      </w:pPr>
      <w:r>
        <mc:AlternateContent>
          <mc:Choice Requires="wpg">
            <w:drawing>
              <wp:inline xmlns:wp="http://schemas.openxmlformats.org/drawingml/2006/wordprocessingDrawing" distT="0" distB="0" distL="0" distR="0">
                <wp:extent cx="5143500" cy="2019300"/>
                <wp:effectExtent l="0" t="0" r="0" b="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pic:cNvPicPr>
                        <pic:nvPr/>
                      </pic:nvPicPr>
                      <pic:blipFill rotWithShape="1">
                        <a:blip r:embed="rId11"/>
                        <a:stretch/>
                      </pic:blipFill>
                      <pic:spPr bwMode="auto">
                        <a:xfrm>
                          <a:off x="0" y="0"/>
                          <a:ext cx="5143500" cy="201930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0" o:spid="_x0000_s0" type="#_x0000_t75" style="width:405.00pt;height:159.00pt;mso-wrap-distance-left:0.00pt;mso-wrap-distance-top:0.00pt;mso-wrap-distance-right:0.00pt;mso-wrap-distance-bottom:0.00pt;z-index:1;" stroked="false">
                <v:imagedata r:id="rId11" o:title=""/>
                <o:lock v:ext="edit" rotation="t"/>
              </v:shape>
            </w:pict>
          </mc:Fallback>
        </mc:AlternateContent>
      </w:r>
      <w:r/>
    </w:p>
    <w:p>
      <w:pPr>
        <w:pStyle w:val="819"/>
        <w:numPr>
          <w:ilvl w:val="0"/>
          <w:numId w:val="4"/>
        </w:numPr>
        <w:pBdr/>
        <w:spacing/>
        <w:ind/>
        <w:rPr/>
      </w:pPr>
      <w:r>
        <w:t xml:space="preserve">Choose the target installation disk.</w:t>
      </w:r>
      <w:r/>
    </w:p>
    <w:p>
      <w:pPr>
        <w:pBdr/>
        <w:spacing w:after="120" w:before="120"/>
        <w:ind/>
        <w:jc w:val="center"/>
        <w:rPr/>
      </w:pPr>
      <w:r>
        <mc:AlternateContent>
          <mc:Choice Requires="wpg">
            <w:drawing>
              <wp:inline xmlns:wp="http://schemas.openxmlformats.org/drawingml/2006/wordprocessingDrawing" distT="0" distB="0" distL="0" distR="0">
                <wp:extent cx="5143500" cy="800100"/>
                <wp:effectExtent l="0" t="0" r="0" b="0"/>
                <wp:docPr id="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pic:cNvPicPr>
                        <pic:nvPr/>
                      </pic:nvPicPr>
                      <pic:blipFill rotWithShape="1">
                        <a:blip r:embed="rId12"/>
                        <a:stretch/>
                      </pic:blipFill>
                      <pic:spPr bwMode="auto">
                        <a:xfrm>
                          <a:off x="0" y="0"/>
                          <a:ext cx="5143500" cy="80010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 o:spid="_x0000_s1" type="#_x0000_t75" style="width:405.00pt;height:63.00pt;mso-wrap-distance-left:0.00pt;mso-wrap-distance-top:0.00pt;mso-wrap-distance-right:0.00pt;mso-wrap-distance-bottom:0.00pt;z-index:1;" stroked="false">
                <v:imagedata r:id="rId12" o:title=""/>
                <o:lock v:ext="edit" rotation="t"/>
              </v:shape>
            </w:pict>
          </mc:Fallback>
        </mc:AlternateContent>
      </w:r>
      <w:r/>
    </w:p>
    <w:p>
      <w:pPr>
        <w:pStyle w:val="819"/>
        <w:numPr>
          <w:ilvl w:val="0"/>
          <w:numId w:val="4"/>
        </w:numPr>
        <w:pBdr/>
        <w:spacing/>
        <w:ind/>
        <w:rPr/>
      </w:pPr>
      <w:r>
        <w:t xml:space="preserve">Set the country and time zone.</w:t>
      </w:r>
      <w:r/>
    </w:p>
    <w:p>
      <w:pPr>
        <w:pStyle w:val="819"/>
        <w:numPr>
          <w:ilvl w:val="0"/>
          <w:numId w:val="4"/>
        </w:numPr>
        <w:pBdr/>
        <w:spacing/>
        <w:ind/>
        <w:rPr/>
      </w:pPr>
      <w:r>
        <w:t xml:space="preserve">Configure the root password and administrative email address.</w:t>
      </w:r>
      <w:r/>
    </w:p>
    <w:p>
      <w:pPr>
        <w:pStyle w:val="819"/>
        <w:numPr>
          <w:ilvl w:val="0"/>
          <w:numId w:val="4"/>
        </w:numPr>
        <w:pBdr/>
        <w:spacing/>
        <w:ind/>
        <w:rPr/>
      </w:pPr>
      <w:r>
        <w:t xml:space="preserve">Set the hostname (e.g. pve01).</w:t>
      </w:r>
      <w:r/>
    </w:p>
    <w:p>
      <w:pPr>
        <w:pStyle w:val="819"/>
        <w:numPr>
          <w:ilvl w:val="0"/>
          <w:numId w:val="4"/>
        </w:numPr>
        <w:pBdr/>
        <w:spacing/>
        <w:ind/>
        <w:rPr/>
      </w:pPr>
      <w:r>
        <w:t xml:space="preserve">Configure the static IP address, gateway, and DNS server.</w:t>
      </w:r>
      <w:r/>
    </w:p>
    <w:p>
      <w:pPr>
        <w:pStyle w:val="819"/>
        <w:numPr>
          <w:ilvl w:val="0"/>
          <w:numId w:val="4"/>
        </w:numPr>
        <w:pBdr/>
        <w:spacing/>
        <w:ind/>
        <w:rPr/>
      </w:pPr>
      <w:r>
        <w:t xml:space="preserve">Once the installation is complete, restart the server and open the Proxmox web interface at </w:t>
      </w:r>
      <w:r>
        <w:rPr>
          <w:rFonts w:ascii="Consolas" w:hAnsi="Consolas" w:eastAsia="Consolas" w:cs="Consolas"/>
          <w:sz w:val="22"/>
          <w:szCs w:val="22"/>
        </w:rPr>
        <w:t xml:space="preserve">https://10.0.10.101:8006/</w:t>
      </w:r>
      <w:r>
        <w:t xml:space="preserve"> in any modern browser.</w:t>
      </w:r>
      <w:r/>
    </w:p>
    <w:p>
      <w:pPr>
        <w:pBdr/>
        <w:spacing w:after="120" w:before="120"/>
        <w:ind/>
        <w:jc w:val="center"/>
        <w:rPr/>
      </w:pPr>
      <w:r>
        <mc:AlternateContent>
          <mc:Choice Requires="wpg">
            <w:drawing>
              <wp:inline xmlns:wp="http://schemas.openxmlformats.org/drawingml/2006/wordprocessingDrawing" distT="0" distB="0" distL="0" distR="0">
                <wp:extent cx="4610100" cy="1009650"/>
                <wp:effectExtent l="0" t="0" r="0" b="0"/>
                <wp:docPr id="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pic:cNvPicPr>
                        <pic:nvPr/>
                      </pic:nvPicPr>
                      <pic:blipFill rotWithShape="1">
                        <a:blip r:embed="rId13"/>
                        <a:stretch/>
                      </pic:blipFill>
                      <pic:spPr bwMode="auto">
                        <a:xfrm>
                          <a:off x="0" y="0"/>
                          <a:ext cx="4610100" cy="100965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width:363.00pt;height:79.50pt;mso-wrap-distance-left:0.00pt;mso-wrap-distance-top:0.00pt;mso-wrap-distance-right:0.00pt;mso-wrap-distance-bottom:0.00pt;z-index:1;" stroked="false">
                <v:imagedata r:id="rId13" o:title=""/>
                <o:lock v:ext="edit" rotation="t"/>
              </v:shape>
            </w:pict>
          </mc:Fallback>
        </mc:AlternateContent>
      </w:r>
      <w:r/>
    </w:p>
    <w:p>
      <w:pPr>
        <w:pBdr/>
        <w:spacing/>
        <w:ind/>
        <w:rPr/>
      </w:pPr>
      <w:r/>
      <w:r/>
    </w:p>
    <w:p>
      <w:pPr>
        <w:pStyle w:val="828"/>
        <w:pBdr/>
        <w:spacing/>
        <w:ind/>
        <w:rPr/>
      </w:pPr>
      <w:r>
        <w:t xml:space="preserve">1.2  Creating a Virtual Machine via the GUI</w:t>
      </w:r>
      <w:r/>
    </w:p>
    <w:p>
      <w:pPr>
        <w:pBdr/>
        <w:spacing w:after="120"/>
        <w:ind/>
        <w:rPr/>
      </w:pPr>
      <w:r>
        <w:t xml:space="preserve">Proxmox VE provides a comprehensive web-based interface for managing virtual machines.</w:t>
      </w:r>
      <w:r/>
    </w:p>
    <w:p>
      <w:pPr>
        <w:pStyle w:val="819"/>
        <w:numPr>
          <w:ilvl w:val="0"/>
          <w:numId w:val="5"/>
        </w:numPr>
        <w:pBdr/>
        <w:spacing/>
        <w:ind/>
        <w:rPr/>
      </w:pPr>
      <w:r>
        <w:t xml:space="preserve">Log in to the Proxmox web interface.</w:t>
      </w:r>
      <w:r/>
    </w:p>
    <w:p>
      <w:pPr>
        <w:pStyle w:val="819"/>
        <w:numPr>
          <w:ilvl w:val="0"/>
          <w:numId w:val="5"/>
        </w:numPr>
        <w:pBdr/>
        <w:spacing/>
        <w:ind/>
        <w:rPr/>
      </w:pPr>
      <w:r>
        <w:t xml:space="preserve">Navigate to </w:t>
      </w:r>
      <w:r>
        <w:rPr>
          <w:b/>
          <w:bCs/>
        </w:rPr>
        <w:t xml:space="preserve">Datacenter → pve → local (pve)</w:t>
      </w:r>
      <w:r>
        <w:t xml:space="preserve"> and click on </w:t>
      </w:r>
      <w:r>
        <w:rPr>
          <w:b/>
          <w:bCs/>
        </w:rPr>
        <w:t xml:space="preserve">ISO Images → Upload</w:t>
      </w:r>
      <w:r>
        <w:t xml:space="preserve">.</w:t>
      </w:r>
      <w:r/>
    </w:p>
    <w:p>
      <w:pPr>
        <w:pBdr/>
        <w:spacing w:after="120" w:before="120"/>
        <w:ind/>
        <w:jc w:val="center"/>
        <w:rPr/>
      </w:pPr>
      <w:r>
        <mc:AlternateContent>
          <mc:Choice Requires="wpg">
            <w:drawing>
              <wp:inline xmlns:wp="http://schemas.openxmlformats.org/drawingml/2006/wordprocessingDrawing" distT="0" distB="0" distL="0" distR="0">
                <wp:extent cx="2800350" cy="1485900"/>
                <wp:effectExtent l="0" t="0" r="0" b="0"/>
                <wp:docPr id="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pic:cNvPicPr>
                        <pic:nvPr/>
                      </pic:nvPicPr>
                      <pic:blipFill rotWithShape="1">
                        <a:blip r:embed="rId14"/>
                        <a:stretch/>
                      </pic:blipFill>
                      <pic:spPr bwMode="auto">
                        <a:xfrm>
                          <a:off x="0" y="0"/>
                          <a:ext cx="2800350" cy="148590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width:220.50pt;height:117.00pt;mso-wrap-distance-left:0.00pt;mso-wrap-distance-top:0.00pt;mso-wrap-distance-right:0.00pt;mso-wrap-distance-bottom:0.00pt;z-index:1;" stroked="false">
                <v:imagedata r:id="rId14" o:title=""/>
                <o:lock v:ext="edit" rotation="t"/>
              </v:shape>
            </w:pict>
          </mc:Fallback>
        </mc:AlternateContent>
      </w:r>
      <w:r/>
    </w:p>
    <w:p>
      <w:pPr>
        <w:pStyle w:val="819"/>
        <w:numPr>
          <w:ilvl w:val="0"/>
          <w:numId w:val="5"/>
        </w:numPr>
        <w:pBdr/>
        <w:spacing/>
        <w:ind/>
        <w:rPr/>
      </w:pPr>
      <w:r>
        <w:t xml:space="preserve">Select the ISO file from the file picker and click Upload again. The ISO will appear in the list once the upload completes.</w:t>
      </w:r>
      <w:r/>
    </w:p>
    <w:p>
      <w:pPr>
        <w:pBdr/>
        <w:spacing w:after="120" w:before="120"/>
        <w:ind/>
        <w:jc w:val="center"/>
        <w:rPr/>
      </w:pPr>
      <w:r>
        <mc:AlternateContent>
          <mc:Choice Requires="wpg">
            <w:drawing>
              <wp:inline xmlns:wp="http://schemas.openxmlformats.org/drawingml/2006/wordprocessingDrawing" distT="0" distB="0" distL="0" distR="0">
                <wp:extent cx="5143500" cy="1085850"/>
                <wp:effectExtent l="0" t="0" r="0" b="0"/>
                <wp:docPr id="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pic:cNvPicPr>
                        <pic:nvPr/>
                      </pic:nvPicPr>
                      <pic:blipFill rotWithShape="1">
                        <a:blip r:embed="rId15"/>
                        <a:stretch/>
                      </pic:blipFill>
                      <pic:spPr bwMode="auto">
                        <a:xfrm>
                          <a:off x="0" y="0"/>
                          <a:ext cx="5143500" cy="108585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width:405.00pt;height:85.50pt;mso-wrap-distance-left:0.00pt;mso-wrap-distance-top:0.00pt;mso-wrap-distance-right:0.00pt;mso-wrap-distance-bottom:0.00pt;z-index:1;" stroked="false">
                <v:imagedata r:id="rId15" o:title=""/>
                <o:lock v:ext="edit" rotation="t"/>
              </v:shape>
            </w:pict>
          </mc:Fallback>
        </mc:AlternateContent>
      </w:r>
      <w:r/>
    </w:p>
    <w:p>
      <w:pPr>
        <w:pStyle w:val="819"/>
        <w:numPr>
          <w:ilvl w:val="0"/>
          <w:numId w:val="5"/>
        </w:numPr>
        <w:pBdr/>
        <w:spacing/>
        <w:ind/>
        <w:rPr/>
      </w:pPr>
      <w:r>
        <w:t xml:space="preserve">In the top right corner of the web interface, click "Create VM".</w:t>
      </w:r>
      <w:r/>
    </w:p>
    <w:p>
      <w:pPr>
        <w:pStyle w:val="819"/>
        <w:numPr>
          <w:ilvl w:val="0"/>
          <w:numId w:val="5"/>
        </w:numPr>
        <w:pBdr/>
        <w:spacing/>
        <w:ind/>
        <w:rPr/>
      </w:pPr>
      <w:r>
        <w:t xml:space="preserve">On the General tab, give the VM a name and leave the rest as default.</w:t>
      </w:r>
      <w:r/>
    </w:p>
    <w:p>
      <w:pPr>
        <w:pBdr/>
        <w:spacing w:after="120" w:before="120"/>
        <w:ind/>
        <w:jc w:val="center"/>
        <w:rPr/>
      </w:pPr>
      <w:r>
        <mc:AlternateContent>
          <mc:Choice Requires="wpg">
            <w:drawing>
              <wp:inline xmlns:wp="http://schemas.openxmlformats.org/drawingml/2006/wordprocessingDrawing" distT="0" distB="0" distL="0" distR="0">
                <wp:extent cx="5143500" cy="3810000"/>
                <wp:effectExtent l="0" t="0" r="0" b="0"/>
                <wp:docPr id="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pic:cNvPicPr>
                        <pic:nvPr/>
                      </pic:nvPicPr>
                      <pic:blipFill rotWithShape="1">
                        <a:blip r:embed="rId16"/>
                        <a:stretch/>
                      </pic:blipFill>
                      <pic:spPr bwMode="auto">
                        <a:xfrm>
                          <a:off x="0" y="0"/>
                          <a:ext cx="5143500" cy="381000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 o:spid="_x0000_s5" type="#_x0000_t75" style="width:405.00pt;height:300.00pt;mso-wrap-distance-left:0.00pt;mso-wrap-distance-top:0.00pt;mso-wrap-distance-right:0.00pt;mso-wrap-distance-bottom:0.00pt;z-index:1;" stroked="false">
                <v:imagedata r:id="rId16" o:title=""/>
                <o:lock v:ext="edit" rotation="t"/>
              </v:shape>
            </w:pict>
          </mc:Fallback>
        </mc:AlternateContent>
      </w:r>
      <w:r/>
    </w:p>
    <w:p>
      <w:pPr>
        <w:pStyle w:val="819"/>
        <w:numPr>
          <w:ilvl w:val="0"/>
          <w:numId w:val="5"/>
        </w:numPr>
        <w:pBdr/>
        <w:spacing/>
        <w:ind/>
        <w:rPr/>
      </w:pPr>
      <w:r>
        <w:t xml:space="preserve">On the </w:t>
      </w:r>
      <w:r>
        <w:rPr>
          <w:b/>
          <w:bCs/>
        </w:rPr>
        <w:t xml:space="preserve">OS</w:t>
      </w:r>
      <w:r>
        <w:t xml:space="preserve"> tab, check "Use CD/DVD disc image file (iso)", choose </w:t>
      </w:r>
      <w:r>
        <w:rPr>
          <w:b/>
          <w:bCs/>
        </w:rPr>
        <w:t xml:space="preserve">local</w:t>
      </w:r>
      <w:r>
        <w:t xml:space="preserve"> as the storage, and select the uploaded ISO as the image.</w:t>
      </w:r>
      <w:r/>
    </w:p>
    <w:p>
      <w:pPr>
        <w:pStyle w:val="819"/>
        <w:numPr>
          <w:ilvl w:val="0"/>
          <w:numId w:val="5"/>
        </w:numPr>
        <w:pBdr/>
        <w:spacing/>
        <w:ind/>
        <w:rPr/>
      </w:pPr>
      <w:r>
        <w:t xml:space="preserve">Leave the remaining tabs at their defaults and click Finish on the Confirm tab.</w:t>
      </w:r>
      <w:r/>
    </w:p>
    <w:p>
      <w:pPr>
        <w:pBdr/>
        <w:spacing/>
        <w:ind/>
        <w:rPr/>
      </w:pPr>
      <w:r/>
      <w:r/>
    </w:p>
    <w:p>
      <w:pPr>
        <w:pStyle w:val="828"/>
        <w:pBdr/>
        <w:spacing/>
        <w:ind/>
        <w:rPr/>
      </w:pPr>
      <w:r>
        <w:t xml:space="preserve">1.3  Creating a Virtual Machine via the CLI</w:t>
      </w:r>
      <w:r/>
    </w:p>
    <w:p>
      <w:pPr>
        <w:pBdr/>
        <w:spacing w:after="120"/>
        <w:ind/>
        <w:rPr/>
      </w:pPr>
      <w:r>
        <w:t xml:space="preserve">Proxmox VE can also be managed entirely from the command line using the qm utility. This is useful for automation and scripting.</w:t>
      </w:r>
      <w:r/>
    </w:p>
    <w:p>
      <w:pPr>
        <w:pStyle w:val="830"/>
        <w:pBdr/>
        <w:spacing/>
        <w:ind/>
        <w:rPr/>
      </w:pPr>
      <w:r>
        <w:t xml:space="preserve">Upload the ISO to the Proxmox host</w:t>
      </w:r>
      <w:r/>
    </w:p>
    <w:p>
      <w:pPr>
        <w:pBdr/>
        <w:spacing w:after="120"/>
        <w:ind/>
        <w:rPr/>
      </w:pPr>
      <w:r>
        <w:t xml:space="preserve">Use SCP from a Windows PowerShell session to upload the ISO image:</w:t>
      </w:r>
      <w:r/>
    </w:p>
    <w:p>
      <w:pPr>
        <w:pBdr>
          <w:top w:val="single" w:color="cccccc" w:sz="4" w:space="0"/>
          <w:left w:val="single" w:color="cccccc" w:sz="4" w:space="0"/>
          <w:bottom w:val="single" w:color="cccccc" w:sz="4" w:space="0"/>
          <w:right w:val="single" w:color="cccccc" w:sz="4" w:space="0"/>
        </w:pBdr>
        <w:shd w:val="clear" w:color="auto" w:fill="f2f2f2"/>
        <w:spacing w:after="100" w:before="100"/>
        <w:ind/>
        <w:rPr/>
      </w:pPr>
      <w:r>
        <w:rPr>
          <w:rFonts w:ascii="Consolas" w:hAnsi="Consolas" w:eastAsia="Consolas" w:cs="Consolas"/>
          <w:sz w:val="20"/>
          <w:szCs w:val="20"/>
        </w:rPr>
        <w:t xml:space="preserve">scp C:\Users\YourName\Downloads\YourISO.iso root@YOUR_PROXMOX_IP:/var/lib/vz/template/iso/</w:t>
      </w:r>
      <w:r/>
    </w:p>
    <w:p>
      <w:pPr>
        <w:pBdr/>
        <w:spacing w:after="120" w:before="120"/>
        <w:ind/>
        <w:jc w:val="center"/>
        <w:rPr/>
      </w:pPr>
      <w:r>
        <mc:AlternateContent>
          <mc:Choice Requires="wpg">
            <w:drawing>
              <wp:inline xmlns:wp="http://schemas.openxmlformats.org/drawingml/2006/wordprocessingDrawing" distT="0" distB="0" distL="0" distR="0">
                <wp:extent cx="5143500" cy="790575"/>
                <wp:effectExtent l="0" t="0" r="0" b="0"/>
                <wp:docPr id="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pic:cNvPicPr>
                        <pic:nvPr/>
                      </pic:nvPicPr>
                      <pic:blipFill rotWithShape="1">
                        <a:blip r:embed="rId17"/>
                        <a:stretch/>
                      </pic:blipFill>
                      <pic:spPr bwMode="auto">
                        <a:xfrm>
                          <a:off x="0" y="0"/>
                          <a:ext cx="5143500" cy="79057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 o:spid="_x0000_s6" type="#_x0000_t75" style="width:405.00pt;height:62.25pt;mso-wrap-distance-left:0.00pt;mso-wrap-distance-top:0.00pt;mso-wrap-distance-right:0.00pt;mso-wrap-distance-bottom:0.00pt;z-index:1;" stroked="false">
                <v:imagedata r:id="rId17" o:title=""/>
                <o:lock v:ext="edit" rotation="t"/>
              </v:shape>
            </w:pict>
          </mc:Fallback>
        </mc:AlternateContent>
      </w:r>
      <w:r/>
    </w:p>
    <w:p>
      <w:pPr>
        <w:pStyle w:val="830"/>
        <w:pBdr/>
        <w:spacing/>
        <w:ind/>
        <w:rPr/>
      </w:pPr>
      <w:r>
        <w:t xml:space="preserve">Verify the ISO is present on the Proxmox host</w:t>
      </w:r>
      <w:r/>
    </w:p>
    <w:p>
      <w:pPr>
        <w:pBdr/>
        <w:spacing w:after="120"/>
        <w:ind/>
        <w:rPr/>
      </w:pPr>
      <w:r>
        <w:t xml:space="preserve">Open the iLO 5 HTML5 terminal and list the ISO directory:</w:t>
      </w:r>
      <w:r/>
    </w:p>
    <w:p>
      <w:pPr>
        <w:pBdr>
          <w:top w:val="single" w:color="cccccc" w:sz="4" w:space="0"/>
          <w:left w:val="single" w:color="cccccc" w:sz="4" w:space="0"/>
          <w:bottom w:val="single" w:color="cccccc" w:sz="4" w:space="0"/>
          <w:right w:val="single" w:color="cccccc" w:sz="4" w:space="0"/>
        </w:pBdr>
        <w:shd w:val="clear" w:color="auto" w:fill="f2f2f2"/>
        <w:spacing w:after="100" w:before="100"/>
        <w:ind/>
        <w:rPr/>
      </w:pPr>
      <w:r>
        <w:rPr>
          <w:rFonts w:ascii="Consolas" w:hAnsi="Consolas" w:eastAsia="Consolas" w:cs="Consolas"/>
          <w:sz w:val="20"/>
          <w:szCs w:val="20"/>
        </w:rPr>
        <w:t xml:space="preserve">ls /var/lib/vz/template/iso/</w:t>
      </w:r>
      <w:r/>
    </w:p>
    <w:p>
      <w:pPr>
        <w:pBdr/>
        <w:spacing w:after="120" w:before="120"/>
        <w:ind/>
        <w:jc w:val="center"/>
        <w:rPr/>
      </w:pPr>
      <w:r>
        <mc:AlternateContent>
          <mc:Choice Requires="wpg">
            <w:drawing>
              <wp:inline xmlns:wp="http://schemas.openxmlformats.org/drawingml/2006/wordprocessingDrawing" distT="0" distB="0" distL="0" distR="0">
                <wp:extent cx="4086225" cy="304800"/>
                <wp:effectExtent l="0" t="0" r="0" b="0"/>
                <wp:docPr id="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pic:cNvPicPr>
                        <pic:nvPr/>
                      </pic:nvPicPr>
                      <pic:blipFill rotWithShape="1">
                        <a:blip r:embed="rId18"/>
                        <a:stretch/>
                      </pic:blipFill>
                      <pic:spPr bwMode="auto">
                        <a:xfrm>
                          <a:off x="0" y="0"/>
                          <a:ext cx="4086225" cy="30480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7" o:spid="_x0000_s7" type="#_x0000_t75" style="width:321.75pt;height:24.00pt;mso-wrap-distance-left:0.00pt;mso-wrap-distance-top:0.00pt;mso-wrap-distance-right:0.00pt;mso-wrap-distance-bottom:0.00pt;z-index:1;" stroked="false">
                <v:imagedata r:id="rId18" o:title=""/>
                <o:lock v:ext="edit" rotation="t"/>
              </v:shape>
            </w:pict>
          </mc:Fallback>
        </mc:AlternateContent>
      </w:r>
      <w:r/>
    </w:p>
    <w:p>
      <w:pPr>
        <w:pStyle w:val="830"/>
        <w:pBdr/>
        <w:spacing/>
        <w:ind/>
        <w:rPr/>
      </w:pPr>
      <w:r>
        <w:t xml:space="preserve">Create the virtual machine</w:t>
      </w:r>
      <w:r/>
    </w:p>
    <w:p>
      <w:pPr>
        <w:pBdr>
          <w:top w:val="single" w:color="cccccc" w:sz="4" w:space="0"/>
          <w:left w:val="single" w:color="cccccc" w:sz="4" w:space="0"/>
          <w:bottom w:val="none" w:color="000000" w:sz="0" w:space="0"/>
          <w:right w:val="single" w:color="cccccc" w:sz="4" w:space="0"/>
        </w:pBdr>
        <w:shd w:val="clear" w:color="auto" w:fill="f2f2f2"/>
        <w:spacing w:after="0" w:before="100"/>
        <w:ind/>
        <w:rPr/>
      </w:pPr>
      <w:r>
        <w:rPr>
          <w:rFonts w:ascii="Consolas" w:hAnsi="Consolas" w:eastAsia="Consolas" w:cs="Consolas"/>
          <w:sz w:val="20"/>
          <w:szCs w:val="20"/>
        </w:rPr>
        <w:t xml:space="preserve">qm create 300 \</w:t>
      </w:r>
      <w:r/>
    </w:p>
    <w:p>
      <w:pPr>
        <w:pBdr>
          <w:top w:val="none" w:color="000000" w:sz="0" w:space="0"/>
          <w:left w:val="single" w:color="cccccc" w:sz="4" w:space="0"/>
          <w:bottom w:val="none" w:color="000000" w:sz="0" w:space="0"/>
          <w:right w:val="single" w:color="cccccc" w:sz="4" w:space="0"/>
        </w:pBdr>
        <w:shd w:val="clear" w:color="auto" w:fill="f2f2f2"/>
        <w:spacing w:after="0" w:before="0"/>
        <w:ind/>
        <w:rPr/>
      </w:pPr>
      <w:r>
        <w:rPr>
          <w:rFonts w:ascii="Consolas" w:hAnsi="Consolas" w:eastAsia="Consolas" w:cs="Consolas"/>
          <w:sz w:val="20"/>
          <w:szCs w:val="20"/>
        </w:rPr>
        <w:t xml:space="preserve">  --name "ubuntu-server" \</w:t>
      </w:r>
      <w:r/>
    </w:p>
    <w:p>
      <w:pPr>
        <w:pBdr>
          <w:top w:val="none" w:color="000000" w:sz="0" w:space="0"/>
          <w:left w:val="single" w:color="cccccc" w:sz="4" w:space="0"/>
          <w:bottom w:val="none" w:color="000000" w:sz="0" w:space="0"/>
          <w:right w:val="single" w:color="cccccc" w:sz="4" w:space="0"/>
        </w:pBdr>
        <w:shd w:val="clear" w:color="auto" w:fill="f2f2f2"/>
        <w:spacing w:after="0" w:before="0"/>
        <w:ind/>
        <w:rPr/>
      </w:pPr>
      <w:r>
        <w:rPr>
          <w:rFonts w:ascii="Consolas" w:hAnsi="Consolas" w:eastAsia="Consolas" w:cs="Consolas"/>
          <w:sz w:val="20"/>
          <w:szCs w:val="20"/>
        </w:rPr>
        <w:t xml:space="preserve">  --memory 2048 \</w:t>
      </w:r>
      <w:r/>
    </w:p>
    <w:p>
      <w:pPr>
        <w:pBdr>
          <w:top w:val="none" w:color="000000" w:sz="0" w:space="0"/>
          <w:left w:val="single" w:color="cccccc" w:sz="4" w:space="0"/>
          <w:bottom w:val="none" w:color="000000" w:sz="0" w:space="0"/>
          <w:right w:val="single" w:color="cccccc" w:sz="4" w:space="0"/>
        </w:pBdr>
        <w:shd w:val="clear" w:color="auto" w:fill="f2f2f2"/>
        <w:spacing w:after="0" w:before="0"/>
        <w:ind/>
        <w:rPr/>
      </w:pPr>
      <w:r>
        <w:rPr>
          <w:rFonts w:ascii="Consolas" w:hAnsi="Consolas" w:eastAsia="Consolas" w:cs="Consolas"/>
          <w:sz w:val="20"/>
          <w:szCs w:val="20"/>
        </w:rPr>
        <w:t xml:space="preserve">  --cores 2 \</w:t>
      </w:r>
      <w:r/>
    </w:p>
    <w:p>
      <w:pPr>
        <w:pBdr>
          <w:top w:val="none" w:color="000000" w:sz="0" w:space="0"/>
          <w:left w:val="single" w:color="cccccc" w:sz="4" w:space="0"/>
          <w:bottom w:val="none" w:color="000000" w:sz="0" w:space="0"/>
          <w:right w:val="single" w:color="cccccc" w:sz="4" w:space="0"/>
        </w:pBdr>
        <w:shd w:val="clear" w:color="auto" w:fill="f2f2f2"/>
        <w:spacing w:after="0" w:before="0"/>
        <w:ind/>
        <w:rPr/>
      </w:pPr>
      <w:r>
        <w:rPr>
          <w:rFonts w:ascii="Consolas" w:hAnsi="Consolas" w:eastAsia="Consolas" w:cs="Consolas"/>
          <w:sz w:val="20"/>
          <w:szCs w:val="20"/>
        </w:rPr>
        <w:t xml:space="preserve">  --net0 virtio,bridge=vmbr0 \</w:t>
      </w:r>
      <w:r/>
    </w:p>
    <w:p>
      <w:pPr>
        <w:pBdr>
          <w:top w:val="none" w:color="000000" w:sz="0" w:space="0"/>
          <w:left w:val="single" w:color="cccccc" w:sz="4" w:space="0"/>
          <w:bottom w:val="single" w:color="cccccc" w:sz="4" w:space="0"/>
          <w:right w:val="single" w:color="cccccc" w:sz="4" w:space="0"/>
        </w:pBdr>
        <w:shd w:val="clear" w:color="auto" w:fill="f2f2f2"/>
        <w:spacing w:after="100" w:before="0"/>
        <w:ind/>
        <w:rPr/>
      </w:pPr>
      <w:r>
        <w:rPr>
          <w:rFonts w:ascii="Consolas" w:hAnsi="Consolas" w:eastAsia="Consolas" w:cs="Consolas"/>
          <w:sz w:val="20"/>
          <w:szCs w:val="20"/>
        </w:rPr>
        <w:t xml:space="preserve">  --ostype l26</w:t>
      </w:r>
      <w:r/>
    </w:p>
    <w:p>
      <w:pPr>
        <w:pStyle w:val="830"/>
        <w:pBdr/>
        <w:spacing/>
        <w:ind/>
        <w:rPr/>
      </w:pPr>
      <w:r>
        <w:t xml:space="preserve">Attach the disk and ISO</w:t>
      </w:r>
      <w:r/>
    </w:p>
    <w:p>
      <w:pPr>
        <w:pBdr>
          <w:top w:val="single" w:color="cccccc" w:sz="4" w:space="0"/>
          <w:left w:val="single" w:color="cccccc" w:sz="4" w:space="0"/>
          <w:bottom w:val="none" w:color="000000" w:sz="0" w:space="0"/>
          <w:right w:val="single" w:color="cccccc" w:sz="4" w:space="0"/>
        </w:pBdr>
        <w:shd w:val="clear" w:color="auto" w:fill="f2f2f2"/>
        <w:spacing w:after="0" w:before="100"/>
        <w:ind/>
        <w:rPr/>
      </w:pPr>
      <w:r>
        <w:rPr>
          <w:rFonts w:ascii="Consolas" w:hAnsi="Consolas" w:eastAsia="Consolas" w:cs="Consolas"/>
          <w:sz w:val="20"/>
          <w:szCs w:val="20"/>
        </w:rPr>
        <w:t xml:space="preserve">qm set 300 --scsi0 local-lvm:20,cache=writeback</w:t>
      </w:r>
      <w:r/>
    </w:p>
    <w:p>
      <w:pPr>
        <w:pBdr>
          <w:top w:val="none" w:color="000000" w:sz="0" w:space="0"/>
          <w:left w:val="single" w:color="cccccc" w:sz="4" w:space="0"/>
          <w:bottom w:val="none" w:color="000000" w:sz="0" w:space="0"/>
          <w:right w:val="single" w:color="cccccc" w:sz="4" w:space="0"/>
        </w:pBdr>
        <w:shd w:val="clear" w:color="auto" w:fill="f2f2f2"/>
        <w:spacing w:after="0" w:before="0"/>
        <w:ind/>
        <w:rPr/>
      </w:pPr>
      <w:r>
        <w:rPr>
          <w:rFonts w:ascii="Consolas" w:hAnsi="Consolas" w:eastAsia="Consolas" w:cs="Consolas"/>
          <w:sz w:val="20"/>
          <w:szCs w:val="20"/>
        </w:rPr>
        <w:t xml:space="preserve">qm set 300 --ide2 local:iso/YourISO.iso,media=cdrom</w:t>
      </w:r>
      <w:r/>
    </w:p>
    <w:p>
      <w:pPr>
        <w:pBdr>
          <w:top w:val="none" w:color="000000" w:sz="0" w:space="0"/>
          <w:left w:val="single" w:color="cccccc" w:sz="4" w:space="0"/>
          <w:bottom w:val="single" w:color="cccccc" w:sz="4" w:space="0"/>
          <w:right w:val="single" w:color="cccccc" w:sz="4" w:space="0"/>
        </w:pBdr>
        <w:shd w:val="clear" w:color="auto" w:fill="f2f2f2"/>
        <w:spacing w:after="100" w:before="0"/>
        <w:ind/>
        <w:rPr/>
      </w:pPr>
      <w:r>
        <w:rPr>
          <w:rFonts w:ascii="Consolas" w:hAnsi="Consolas" w:eastAsia="Consolas" w:cs="Consolas"/>
          <w:sz w:val="20"/>
          <w:szCs w:val="20"/>
        </w:rPr>
        <w:t xml:space="preserve">qm set 300 --boot order=ide2;scsi0</w:t>
      </w:r>
      <w:r/>
    </w:p>
    <w:p>
      <w:pPr>
        <w:pStyle w:val="830"/>
        <w:pBdr/>
        <w:spacing/>
        <w:ind/>
        <w:rPr/>
      </w:pPr>
      <w:r>
        <w:t xml:space="preserve">Start the virtual machine</w:t>
      </w:r>
      <w:r/>
    </w:p>
    <w:p>
      <w:pPr>
        <w:pBdr>
          <w:top w:val="single" w:color="cccccc" w:sz="4" w:space="0"/>
          <w:left w:val="single" w:color="cccccc" w:sz="4" w:space="0"/>
          <w:bottom w:val="single" w:color="cccccc" w:sz="4" w:space="0"/>
          <w:right w:val="single" w:color="cccccc" w:sz="4" w:space="0"/>
        </w:pBdr>
        <w:shd w:val="clear" w:color="auto" w:fill="f2f2f2"/>
        <w:spacing w:after="100" w:before="100"/>
        <w:ind/>
        <w:rPr/>
      </w:pPr>
      <w:r>
        <w:rPr>
          <w:rFonts w:ascii="Consolas" w:hAnsi="Consolas" w:eastAsia="Consolas" w:cs="Consolas"/>
          <w:sz w:val="20"/>
          <w:szCs w:val="20"/>
        </w:rPr>
        <w:t xml:space="preserve">qm start 300</w:t>
      </w:r>
      <w:r/>
    </w:p>
    <w:p>
      <w:pPr>
        <w:pStyle w:val="830"/>
        <w:pBdr/>
        <w:spacing/>
        <w:ind/>
        <w:rPr/>
      </w:pPr>
      <w:r>
        <w:t xml:space="preserve">Accessing the VM console via CLI</w:t>
      </w:r>
      <w:r/>
    </w:p>
    <w:p>
      <w:pPr>
        <w:pBdr/>
        <w:spacing w:after="120"/>
        <w:ind/>
        <w:rPr/>
      </w:pPr>
      <w:r>
        <w:t xml:space="preserve">To access the VM terminal directly from the command line, add a serial port and configure the display to use it:</w:t>
      </w:r>
      <w:r/>
    </w:p>
    <w:p>
      <w:pPr>
        <w:pBdr>
          <w:top w:val="single" w:color="cccccc" w:sz="4" w:space="0"/>
          <w:left w:val="single" w:color="cccccc" w:sz="4" w:space="0"/>
          <w:bottom w:val="none" w:color="000000" w:sz="0" w:space="0"/>
          <w:right w:val="single" w:color="cccccc" w:sz="4" w:space="0"/>
        </w:pBdr>
        <w:shd w:val="clear" w:color="auto" w:fill="f2f2f2"/>
        <w:spacing w:after="0" w:before="100"/>
        <w:ind/>
        <w:rPr/>
      </w:pPr>
      <w:r>
        <w:rPr>
          <w:rFonts w:ascii="Consolas" w:hAnsi="Consolas" w:eastAsia="Consolas" w:cs="Consolas"/>
          <w:sz w:val="20"/>
          <w:szCs w:val="20"/>
        </w:rPr>
        <w:t xml:space="preserve">qm set 300 --serial0 socket --vga serial0</w:t>
      </w:r>
      <w:r/>
    </w:p>
    <w:p>
      <w:pPr>
        <w:pBdr>
          <w:top w:val="none" w:color="000000" w:sz="0" w:space="0"/>
          <w:left w:val="single" w:color="cccccc" w:sz="4" w:space="0"/>
          <w:bottom w:val="none" w:color="000000" w:sz="0" w:space="0"/>
          <w:right w:val="single" w:color="cccccc" w:sz="4" w:space="0"/>
        </w:pBdr>
        <w:shd w:val="clear" w:color="auto" w:fill="f2f2f2"/>
        <w:spacing w:after="0" w:before="0"/>
        <w:ind/>
        <w:rPr/>
      </w:pPr>
      <w:r>
        <w:rPr>
          <w:rFonts w:ascii="Consolas" w:hAnsi="Consolas" w:eastAsia="Consolas" w:cs="Consolas"/>
          <w:sz w:val="20"/>
          <w:szCs w:val="20"/>
        </w:rPr>
        <w:t xml:space="preserve">qm start 300</w:t>
      </w:r>
      <w:r/>
    </w:p>
    <w:p>
      <w:pPr>
        <w:pBdr>
          <w:top w:val="none" w:color="000000" w:sz="0" w:space="0"/>
          <w:left w:val="single" w:color="cccccc" w:sz="4" w:space="0"/>
          <w:bottom w:val="single" w:color="cccccc" w:sz="4" w:space="0"/>
          <w:right w:val="single" w:color="cccccc" w:sz="4" w:space="0"/>
        </w:pBdr>
        <w:shd w:val="clear" w:color="auto" w:fill="f2f2f2"/>
        <w:spacing w:after="100" w:before="0"/>
        <w:ind/>
        <w:rPr/>
      </w:pPr>
      <w:r>
        <w:rPr>
          <w:rFonts w:ascii="Consolas" w:hAnsi="Consolas" w:eastAsia="Consolas" w:cs="Consolas"/>
          <w:sz w:val="20"/>
          <w:szCs w:val="20"/>
        </w:rPr>
        <w:t xml:space="preserve">qm terminal 300</w:t>
      </w:r>
      <w:r/>
    </w:p>
    <w:p>
      <w:pPr>
        <w:pBdr/>
        <w:spacing/>
        <w:ind/>
        <w:rPr/>
      </w:pPr>
      <w:r/>
      <w:r/>
    </w:p>
    <w:p>
      <w:pPr>
        <w:pStyle w:val="828"/>
        <w:pBdr/>
        <w:spacing/>
        <w:ind/>
        <w:rPr/>
      </w:pPr>
      <w:r>
        <w:t xml:space="preserve">1.4  Operating System Installation</w:t>
      </w:r>
      <w:r/>
    </w:p>
    <w:p>
      <w:pPr>
        <w:pBdr/>
        <w:spacing w:after="120"/>
        <w:ind/>
        <w:rPr/>
      </w:pPr>
      <w:r>
        <w:t xml:space="preserve">After creating the VM, click on it in the left navigation pane and open the console. The virtual machine will boot from the attached ISO image and present the operating system installer.</w:t>
      </w:r>
      <w:r/>
    </w:p>
    <w:p>
      <w:pPr>
        <w:pBdr/>
        <w:spacing w:after="120" w:before="120"/>
        <w:ind/>
        <w:jc w:val="center"/>
        <w:rPr/>
      </w:pPr>
      <w:r>
        <mc:AlternateContent>
          <mc:Choice Requires="wpg">
            <w:drawing>
              <wp:inline xmlns:wp="http://schemas.openxmlformats.org/drawingml/2006/wordprocessingDrawing" distT="0" distB="0" distL="0" distR="0">
                <wp:extent cx="4162425" cy="1390650"/>
                <wp:effectExtent l="0" t="0" r="0" b="0"/>
                <wp:docPr id="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pic:cNvPicPr>
                        <pic:nvPr/>
                      </pic:nvPicPr>
                      <pic:blipFill rotWithShape="1">
                        <a:blip r:embed="rId19"/>
                        <a:stretch/>
                      </pic:blipFill>
                      <pic:spPr bwMode="auto">
                        <a:xfrm>
                          <a:off x="0" y="0"/>
                          <a:ext cx="4162425" cy="139065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8" o:spid="_x0000_s8" type="#_x0000_t75" style="width:327.75pt;height:109.50pt;mso-wrap-distance-left:0.00pt;mso-wrap-distance-top:0.00pt;mso-wrap-distance-right:0.00pt;mso-wrap-distance-bottom:0.00pt;z-index:1;" stroked="false">
                <v:imagedata r:id="rId19" o:title=""/>
                <o:lock v:ext="edit" rotation="t"/>
              </v:shape>
            </w:pict>
          </mc:Fallback>
        </mc:AlternateContent>
      </w:r>
      <w:r/>
    </w:p>
    <w:p>
      <w:pPr>
        <w:pBdr>
          <w:top w:val="single" w:color="2e74b5" w:sz="6" w:space="0"/>
          <w:left w:val="single" w:color="2e74b5" w:sz="18" w:space="0"/>
          <w:bottom w:val="single" w:color="2e74b5" w:sz="6" w:space="0"/>
          <w:right w:val="single" w:color="2e74b5" w:sz="6" w:space="0"/>
        </w:pBdr>
        <w:shd w:val="clear" w:color="auto" w:fill="eaf1fb"/>
        <w:spacing w:after="150" w:before="150"/>
        <w:ind/>
        <w:rPr/>
      </w:pPr>
      <w:r>
        <w:rPr>
          <w:b/>
          <w:bCs/>
          <w:color w:val="1f3864"/>
        </w:rPr>
        <w:t xml:space="preserve">VirtIO Drivers for Windows: </w:t>
      </w:r>
      <w:r>
        <w:t xml:space="preserve">When installing Windows, the VirtIO drivers must be supplied during the installer if the VM uses SCSI virtual disks; otherwise the disk will not be detected.</w:t>
      </w:r>
      <w:r/>
    </w:p>
    <w:p>
      <w:pPr>
        <w:pBdr/>
        <w:spacing w:after="120"/>
        <w:ind/>
        <w:rPr/>
      </w:pPr>
      <w:r>
        <w:t xml:space="preserve">Once the installation completes, the virtual machine is ready for use immediately. No additional configuration is required for the guest operating system to function within Proxmox VE.</w:t>
      </w:r>
      <w:r/>
    </w:p>
    <w:p>
      <w:pPr>
        <w:pBdr/>
        <w:spacing/>
        <w:ind/>
        <w:rPr/>
      </w:pPr>
      <w:r/>
      <w:r/>
    </w:p>
    <w:p>
      <w:pPr>
        <w:pStyle w:val="828"/>
        <w:pBdr/>
        <w:spacing/>
        <w:ind/>
        <w:rPr/>
      </w:pPr>
      <w:r>
        <w:t xml:space="preserve">1.5  Changing VM Configuration</w:t>
      </w:r>
      <w:r/>
    </w:p>
    <w:p>
      <w:pPr>
        <w:pBdr/>
        <w:spacing w:after="120"/>
        <w:ind/>
        <w:rPr/>
      </w:pPr>
      <w:r>
        <w:t xml:space="preserve">Proxmox VE allows on-the-fly modification of virtual machine resources through the Hardware tab of the VM. Some resources (such as RAM and CPU) support hot-plug, while others (such as disks and NICs) generally require the VM to be in an appropriate state.</w:t>
      </w:r>
      <w:r/>
    </w:p>
    <w:p>
      <w:pPr>
        <w:pStyle w:val="829"/>
        <w:pBdr/>
        <w:spacing/>
        <w:ind/>
        <w:rPr/>
      </w:pPr>
      <w:r>
        <w:t xml:space="preserve">CPU</w:t>
      </w:r>
      <w:r/>
    </w:p>
    <w:p>
      <w:pPr>
        <w:pStyle w:val="819"/>
        <w:numPr>
          <w:ilvl w:val="0"/>
          <w:numId w:val="6"/>
        </w:numPr>
        <w:pBdr/>
        <w:spacing/>
        <w:ind/>
        <w:rPr/>
      </w:pPr>
      <w:r>
        <w:t xml:space="preserve">Navigate to </w:t>
      </w:r>
      <w:r>
        <w:rPr>
          <w:b/>
          <w:bCs/>
        </w:rPr>
        <w:t xml:space="preserve">VM → Hardware → Processors</w:t>
      </w:r>
      <w:r>
        <w:t xml:space="preserve"> and click </w:t>
      </w:r>
      <w:r>
        <w:rPr>
          <w:b/>
          <w:bCs/>
        </w:rPr>
        <w:t xml:space="preserve">Edit</w:t>
      </w:r>
      <w:r>
        <w:t xml:space="preserve">.</w:t>
      </w:r>
      <w:r/>
    </w:p>
    <w:p>
      <w:pPr>
        <w:pStyle w:val="819"/>
        <w:numPr>
          <w:ilvl w:val="0"/>
          <w:numId w:val="6"/>
        </w:numPr>
        <w:pBdr/>
        <w:spacing/>
        <w:ind/>
        <w:rPr/>
      </w:pPr>
      <w:r>
        <w:t xml:space="preserve">Adjust the number of sockets and cores as required, then save.</w:t>
      </w:r>
      <w:r/>
    </w:p>
    <w:p>
      <w:pPr>
        <w:pBdr/>
        <w:spacing w:after="120" w:before="120"/>
        <w:ind/>
        <w:jc w:val="center"/>
        <w:rPr/>
      </w:pPr>
      <w:r>
        <mc:AlternateContent>
          <mc:Choice Requires="wpg">
            <w:drawing>
              <wp:inline xmlns:wp="http://schemas.openxmlformats.org/drawingml/2006/wordprocessingDrawing" distT="0" distB="0" distL="0" distR="0">
                <wp:extent cx="5143500" cy="1200150"/>
                <wp:effectExtent l="0" t="0" r="0" b="0"/>
                <wp:docPr id="1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pic:cNvPicPr>
                        <pic:nvPr/>
                      </pic:nvPicPr>
                      <pic:blipFill rotWithShape="1">
                        <a:blip r:embed="rId20"/>
                        <a:stretch/>
                      </pic:blipFill>
                      <pic:spPr bwMode="auto">
                        <a:xfrm>
                          <a:off x="0" y="0"/>
                          <a:ext cx="5143500" cy="120015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9" o:spid="_x0000_s9" type="#_x0000_t75" style="width:405.00pt;height:94.50pt;mso-wrap-distance-left:0.00pt;mso-wrap-distance-top:0.00pt;mso-wrap-distance-right:0.00pt;mso-wrap-distance-bottom:0.00pt;z-index:1;" stroked="false">
                <v:imagedata r:id="rId20" o:title=""/>
                <o:lock v:ext="edit" rotation="t"/>
              </v:shape>
            </w:pict>
          </mc:Fallback>
        </mc:AlternateContent>
      </w:r>
      <w:r/>
    </w:p>
    <w:p>
      <w:pPr>
        <w:pStyle w:val="829"/>
        <w:pBdr/>
        <w:spacing/>
        <w:ind/>
        <w:rPr/>
      </w:pPr>
      <w:r>
        <w:t xml:space="preserve">RAM</w:t>
      </w:r>
      <w:r/>
    </w:p>
    <w:p>
      <w:pPr>
        <w:pStyle w:val="819"/>
        <w:numPr>
          <w:ilvl w:val="0"/>
          <w:numId w:val="7"/>
        </w:numPr>
        <w:pBdr/>
        <w:spacing/>
        <w:ind/>
        <w:rPr/>
      </w:pPr>
      <w:r>
        <w:t xml:space="preserve">Navigate to </w:t>
      </w:r>
      <w:r>
        <w:rPr>
          <w:b/>
          <w:bCs/>
        </w:rPr>
        <w:t xml:space="preserve">VM → Hardware → Memory</w:t>
      </w:r>
      <w:r>
        <w:t xml:space="preserve"> and click </w:t>
      </w:r>
      <w:r>
        <w:rPr>
          <w:b/>
          <w:bCs/>
        </w:rPr>
        <w:t xml:space="preserve">Edit</w:t>
      </w:r>
      <w:r>
        <w:t xml:space="preserve">.</w:t>
      </w:r>
      <w:r/>
    </w:p>
    <w:p>
      <w:pPr>
        <w:pStyle w:val="819"/>
        <w:numPr>
          <w:ilvl w:val="0"/>
          <w:numId w:val="7"/>
        </w:numPr>
        <w:pBdr/>
        <w:spacing/>
        <w:ind/>
        <w:rPr/>
      </w:pPr>
      <w:r>
        <w:t xml:space="preserve">Set the desired memory size in MiB and save.</w:t>
      </w:r>
      <w:r/>
    </w:p>
    <w:p>
      <w:pPr>
        <w:pBdr/>
        <w:spacing w:after="120" w:before="120"/>
        <w:ind/>
        <w:jc w:val="center"/>
        <w:rPr/>
      </w:pPr>
      <w:r>
        <mc:AlternateContent>
          <mc:Choice Requires="wpg">
            <w:drawing>
              <wp:inline xmlns:wp="http://schemas.openxmlformats.org/drawingml/2006/wordprocessingDrawing" distT="0" distB="0" distL="0" distR="0">
                <wp:extent cx="3743325" cy="1133475"/>
                <wp:effectExtent l="0" t="0" r="0" b="0"/>
                <wp:docPr id="1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pic:cNvPicPr>
                        <pic:nvPr/>
                      </pic:nvPicPr>
                      <pic:blipFill rotWithShape="1">
                        <a:blip r:embed="rId21"/>
                        <a:stretch/>
                      </pic:blipFill>
                      <pic:spPr bwMode="auto">
                        <a:xfrm>
                          <a:off x="0" y="0"/>
                          <a:ext cx="3743325" cy="113347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 o:spid="_x0000_s10" type="#_x0000_t75" style="width:294.75pt;height:89.25pt;mso-wrap-distance-left:0.00pt;mso-wrap-distance-top:0.00pt;mso-wrap-distance-right:0.00pt;mso-wrap-distance-bottom:0.00pt;z-index:1;" stroked="false">
                <v:imagedata r:id="rId21" o:title=""/>
                <o:lock v:ext="edit" rotation="t"/>
              </v:shape>
            </w:pict>
          </mc:Fallback>
        </mc:AlternateContent>
      </w:r>
      <w:r/>
    </w:p>
    <w:p>
      <w:pPr>
        <w:pStyle w:val="829"/>
        <w:pBdr/>
        <w:spacing/>
        <w:ind/>
        <w:rPr/>
      </w:pPr>
      <w:r>
        <w:t xml:space="preserve">Adding a Hard Disk</w:t>
      </w:r>
      <w:r/>
    </w:p>
    <w:p>
      <w:pPr>
        <w:pStyle w:val="819"/>
        <w:numPr>
          <w:ilvl w:val="0"/>
          <w:numId w:val="8"/>
        </w:numPr>
        <w:pBdr/>
        <w:spacing/>
        <w:ind/>
        <w:rPr/>
      </w:pPr>
      <w:r>
        <w:t xml:space="preserve">Navigate to </w:t>
      </w:r>
      <w:r>
        <w:rPr>
          <w:b/>
          <w:bCs/>
        </w:rPr>
        <w:t xml:space="preserve">VM → Hardware</w:t>
      </w:r>
      <w:r>
        <w:t xml:space="preserve"> and click </w:t>
      </w:r>
      <w:r>
        <w:rPr>
          <w:b/>
          <w:bCs/>
        </w:rPr>
        <w:t xml:space="preserve">Add → Hard Disk</w:t>
      </w:r>
      <w:r>
        <w:t xml:space="preserve">.</w:t>
      </w:r>
      <w:r/>
    </w:p>
    <w:p>
      <w:pPr>
        <w:pBdr/>
        <w:spacing w:after="120" w:before="120"/>
        <w:ind/>
        <w:jc w:val="center"/>
        <w:rPr/>
      </w:pPr>
      <w:r>
        <mc:AlternateContent>
          <mc:Choice Requires="wpg">
            <w:drawing>
              <wp:inline xmlns:wp="http://schemas.openxmlformats.org/drawingml/2006/wordprocessingDrawing" distT="0" distB="0" distL="0" distR="0">
                <wp:extent cx="1438275" cy="533400"/>
                <wp:effectExtent l="0" t="0" r="0" b="0"/>
                <wp:docPr id="1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pic:cNvPicPr>
                        <pic:nvPr/>
                      </pic:nvPicPr>
                      <pic:blipFill rotWithShape="1">
                        <a:blip r:embed="rId22"/>
                        <a:stretch/>
                      </pic:blipFill>
                      <pic:spPr bwMode="auto">
                        <a:xfrm>
                          <a:off x="0" y="0"/>
                          <a:ext cx="1438275" cy="53340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 o:spid="_x0000_s11" type="#_x0000_t75" style="width:113.25pt;height:42.00pt;mso-wrap-distance-left:0.00pt;mso-wrap-distance-top:0.00pt;mso-wrap-distance-right:0.00pt;mso-wrap-distance-bottom:0.00pt;z-index:1;" stroked="false">
                <v:imagedata r:id="rId22" o:title=""/>
                <o:lock v:ext="edit" rotation="t"/>
              </v:shape>
            </w:pict>
          </mc:Fallback>
        </mc:AlternateContent>
      </w:r>
      <w:r/>
    </w:p>
    <w:p>
      <w:pPr>
        <w:pStyle w:val="819"/>
        <w:numPr>
          <w:ilvl w:val="0"/>
          <w:numId w:val="8"/>
        </w:numPr>
        <w:pBdr/>
        <w:spacing/>
        <w:ind/>
        <w:rPr/>
      </w:pPr>
      <w:r>
        <w:t xml:space="preserve">Configure the storage location, size, and bus type (e.g. SCSI with VirtIO controller), then click Add.</w:t>
      </w:r>
      <w:r/>
    </w:p>
    <w:p>
      <w:pPr>
        <w:pBdr/>
        <w:spacing w:after="120" w:before="120"/>
        <w:ind/>
        <w:jc w:val="center"/>
        <w:rPr/>
      </w:pPr>
      <w:r>
        <mc:AlternateContent>
          <mc:Choice Requires="wpg">
            <w:drawing>
              <wp:inline xmlns:wp="http://schemas.openxmlformats.org/drawingml/2006/wordprocessingDrawing" distT="0" distB="0" distL="0" distR="0">
                <wp:extent cx="5143500" cy="2371725"/>
                <wp:effectExtent l="0" t="0" r="0" b="0"/>
                <wp:docPr id="1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pic:cNvPicPr>
                        <pic:nvPr/>
                      </pic:nvPicPr>
                      <pic:blipFill rotWithShape="1">
                        <a:blip r:embed="rId23"/>
                        <a:stretch/>
                      </pic:blipFill>
                      <pic:spPr bwMode="auto">
                        <a:xfrm>
                          <a:off x="0" y="0"/>
                          <a:ext cx="5143500" cy="237172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 o:spid="_x0000_s12" type="#_x0000_t75" style="width:405.00pt;height:186.75pt;mso-wrap-distance-left:0.00pt;mso-wrap-distance-top:0.00pt;mso-wrap-distance-right:0.00pt;mso-wrap-distance-bottom:0.00pt;z-index:1;" stroked="false">
                <v:imagedata r:id="rId23" o:title=""/>
                <o:lock v:ext="edit" rotation="t"/>
              </v:shape>
            </w:pict>
          </mc:Fallback>
        </mc:AlternateContent>
      </w:r>
      <w:r/>
    </w:p>
    <w:p>
      <w:pPr>
        <w:pStyle w:val="829"/>
        <w:pBdr/>
        <w:spacing/>
        <w:ind/>
        <w:rPr/>
      </w:pPr>
      <w:r>
        <w:t xml:space="preserve">Removing a Hard Disk</w:t>
      </w:r>
      <w:r/>
    </w:p>
    <w:p>
      <w:pPr>
        <w:pStyle w:val="819"/>
        <w:numPr>
          <w:ilvl w:val="0"/>
          <w:numId w:val="9"/>
        </w:numPr>
        <w:pBdr/>
        <w:spacing/>
        <w:ind/>
        <w:rPr/>
      </w:pPr>
      <w:r>
        <w:t xml:space="preserve">In the Hardware view, select the disk and click </w:t>
      </w:r>
      <w:r>
        <w:rPr>
          <w:b/>
          <w:bCs/>
        </w:rPr>
        <w:t xml:space="preserve">Detach</w:t>
      </w:r>
      <w:r>
        <w:t xml:space="preserve"> and confirm.</w:t>
      </w:r>
      <w:r/>
    </w:p>
    <w:p>
      <w:pPr>
        <w:pStyle w:val="819"/>
        <w:numPr>
          <w:ilvl w:val="0"/>
          <w:numId w:val="9"/>
        </w:numPr>
        <w:pBdr/>
        <w:spacing/>
        <w:ind/>
        <w:rPr/>
      </w:pPr>
      <w:r>
        <w:t xml:space="preserve">Select the now-detached entry and click </w:t>
      </w:r>
      <w:r>
        <w:rPr>
          <w:b/>
          <w:bCs/>
        </w:rPr>
        <w:t xml:space="preserve">Remove</w:t>
      </w:r>
      <w:r>
        <w:t xml:space="preserve"> to delete it completely.</w:t>
      </w:r>
      <w:r/>
    </w:p>
    <w:p>
      <w:pPr>
        <w:pStyle w:val="829"/>
        <w:pBdr/>
        <w:spacing/>
        <w:ind/>
        <w:rPr/>
      </w:pPr>
      <w:r>
        <w:t xml:space="preserve">Resizing a Hard Disk</w:t>
      </w:r>
      <w:r/>
    </w:p>
    <w:p>
      <w:pPr>
        <w:pStyle w:val="819"/>
        <w:numPr>
          <w:ilvl w:val="0"/>
          <w:numId w:val="10"/>
        </w:numPr>
        <w:pBdr/>
        <w:spacing/>
        <w:ind/>
        <w:rPr/>
      </w:pPr>
      <w:r>
        <w:t xml:space="preserve">Select the disk in Hardware and click </w:t>
      </w:r>
      <w:r>
        <w:rPr>
          <w:b/>
          <w:bCs/>
        </w:rPr>
        <w:t xml:space="preserve">Disk Action → Resize</w:t>
      </w:r>
      <w:r>
        <w:t xml:space="preserve">.</w:t>
      </w:r>
      <w:r/>
    </w:p>
    <w:p>
      <w:pPr>
        <w:pStyle w:val="819"/>
        <w:numPr>
          <w:ilvl w:val="0"/>
          <w:numId w:val="10"/>
        </w:numPr>
        <w:pBdr/>
        <w:spacing/>
        <w:ind/>
        <w:rPr/>
      </w:pPr>
      <w:r>
        <w:t xml:space="preserve">Enter the additional space to add (only growth is supported) and click </w:t>
      </w:r>
      <w:r>
        <w:rPr>
          <w:b/>
          <w:bCs/>
        </w:rPr>
        <w:t xml:space="preserve">Resize Disk</w:t>
      </w:r>
      <w:r>
        <w:t xml:space="preserve">.</w:t>
      </w:r>
      <w:r/>
    </w:p>
    <w:p>
      <w:pPr>
        <w:pBdr/>
        <w:spacing/>
        <w:ind/>
        <w:rPr/>
      </w:pPr>
      <w:r/>
      <w:r/>
    </w:p>
    <w:p>
      <w:pPr>
        <w:pStyle w:val="828"/>
        <w:pBdr/>
        <w:spacing/>
        <w:ind/>
        <w:rPr/>
      </w:pPr>
      <w:r>
        <w:t xml:space="preserve">1.6  Duplicating a Virtual Machine</w:t>
      </w:r>
      <w:r/>
    </w:p>
    <w:p>
      <w:pPr>
        <w:pBdr/>
        <w:spacing w:after="120"/>
        <w:ind/>
        <w:rPr/>
      </w:pPr>
      <w:r>
        <w:t xml:space="preserve">Proxmox VE provides a built-in clone function that creates a new independent VM from an existing source.</w:t>
      </w:r>
      <w:r/>
    </w:p>
    <w:p>
      <w:pPr>
        <w:pStyle w:val="819"/>
        <w:numPr>
          <w:ilvl w:val="0"/>
          <w:numId w:val="11"/>
        </w:numPr>
        <w:pBdr/>
        <w:spacing/>
        <w:ind/>
        <w:rPr/>
      </w:pPr>
      <w:r>
        <w:t xml:space="preserve">Right-click an existing VM in the resource tree and select Clone.</w:t>
      </w:r>
      <w:r/>
    </w:p>
    <w:p>
      <w:pPr>
        <w:pStyle w:val="819"/>
        <w:numPr>
          <w:ilvl w:val="0"/>
          <w:numId w:val="11"/>
        </w:numPr>
        <w:pBdr/>
        <w:spacing/>
        <w:ind/>
        <w:rPr/>
      </w:pPr>
      <w:r>
        <w:t xml:space="preserve">In the popup, enter the name for the new VM and click Clone.</w:t>
      </w:r>
      <w:r/>
    </w:p>
    <w:p>
      <w:pPr>
        <w:pBdr/>
        <w:spacing w:after="120"/>
        <w:ind/>
        <w:rPr/>
      </w:pPr>
      <w:r>
        <w:t xml:space="preserve">A full clone is independent of the source VM; a linked clone shares disk space with the source but requires a template.</w:t>
      </w:r>
      <w:r/>
    </w:p>
    <w:p>
      <w:pPr>
        <w:pBdr/>
        <w:spacing/>
        <w:ind/>
        <w:rPr/>
      </w:pPr>
      <w:r/>
      <w:r/>
    </w:p>
    <w:p>
      <w:pPr>
        <w:pStyle w:val="828"/>
        <w:pBdr/>
        <w:spacing/>
        <w:ind/>
        <w:rPr/>
      </w:pPr>
      <w:r>
        <w:t xml:space="preserve">1.7  Backup of the Proxmox Hypervisor Configuration</w:t>
      </w:r>
      <w:r/>
    </w:p>
    <w:p>
      <w:pPr>
        <w:pBdr/>
        <w:spacing w:after="120"/>
        <w:ind/>
        <w:rPr/>
      </w:pPr>
      <w:r>
        <w:t xml:space="preserve">The Proxmox host configuration can be backed up using standard Linux command-line tools. The configuration files reside under /etc/pve and a few related system directories.</w:t>
      </w:r>
      <w:r/>
    </w:p>
    <w:p>
      <w:pPr>
        <w:pStyle w:val="819"/>
        <w:numPr>
          <w:ilvl w:val="0"/>
          <w:numId w:val="12"/>
        </w:numPr>
        <w:pBdr/>
        <w:spacing/>
        <w:ind/>
        <w:rPr/>
      </w:pPr>
      <w:r>
        <w:t xml:space="preserve">Log in to the Proxmox host shell via SSH or the iLO HTML5 terminal.</w:t>
      </w:r>
      <w:r/>
    </w:p>
    <w:p>
      <w:pPr>
        <w:pStyle w:val="819"/>
        <w:numPr>
          <w:ilvl w:val="0"/>
          <w:numId w:val="12"/>
        </w:numPr>
        <w:pBdr/>
        <w:spacing/>
        <w:ind/>
        <w:rPr/>
      </w:pPr>
      <w:r>
        <w:t xml:space="preserve">Create a compressed tarball of the relevant configuration directories:</w:t>
      </w:r>
      <w:r/>
    </w:p>
    <w:p>
      <w:pPr>
        <w:pBdr>
          <w:top w:val="single" w:color="cccccc" w:sz="4" w:space="0"/>
          <w:left w:val="single" w:color="cccccc" w:sz="4" w:space="0"/>
          <w:bottom w:val="none" w:color="000000" w:sz="0" w:space="0"/>
          <w:right w:val="single" w:color="cccccc" w:sz="4" w:space="0"/>
        </w:pBdr>
        <w:shd w:val="clear" w:color="auto" w:fill="f2f2f2"/>
        <w:spacing w:after="0" w:before="100"/>
        <w:ind/>
        <w:rPr/>
      </w:pPr>
      <w:r>
        <w:rPr>
          <w:rFonts w:ascii="Consolas" w:hAnsi="Consolas" w:eastAsia="Consolas" w:cs="Consolas"/>
          <w:sz w:val="20"/>
          <w:szCs w:val="20"/>
        </w:rPr>
        <w:t xml:space="preserve">tar czf proxmox-config-backup.tar.gz \</w:t>
      </w:r>
      <w:r/>
    </w:p>
    <w:p>
      <w:pPr>
        <w:pBdr>
          <w:top w:val="none" w:color="000000" w:sz="0" w:space="0"/>
          <w:left w:val="single" w:color="cccccc" w:sz="4" w:space="0"/>
          <w:bottom w:val="none" w:color="000000" w:sz="0" w:space="0"/>
          <w:right w:val="single" w:color="cccccc" w:sz="4" w:space="0"/>
        </w:pBdr>
        <w:shd w:val="clear" w:color="auto" w:fill="f2f2f2"/>
        <w:spacing w:after="0" w:before="0"/>
        <w:ind/>
        <w:rPr/>
      </w:pPr>
      <w:r>
        <w:rPr>
          <w:rFonts w:ascii="Consolas" w:hAnsi="Consolas" w:eastAsia="Consolas" w:cs="Consolas"/>
          <w:sz w:val="20"/>
          <w:szCs w:val="20"/>
        </w:rPr>
        <w:t xml:space="preserve">  /etc/pve/ \</w:t>
      </w:r>
      <w:r/>
    </w:p>
    <w:p>
      <w:pPr>
        <w:pBdr>
          <w:top w:val="none" w:color="000000" w:sz="0" w:space="0"/>
          <w:left w:val="single" w:color="cccccc" w:sz="4" w:space="0"/>
          <w:bottom w:val="none" w:color="000000" w:sz="0" w:space="0"/>
          <w:right w:val="single" w:color="cccccc" w:sz="4" w:space="0"/>
        </w:pBdr>
        <w:shd w:val="clear" w:color="auto" w:fill="f2f2f2"/>
        <w:spacing w:after="0" w:before="0"/>
        <w:ind/>
        <w:rPr/>
      </w:pPr>
      <w:r>
        <w:rPr>
          <w:rFonts w:ascii="Consolas" w:hAnsi="Consolas" w:eastAsia="Consolas" w:cs="Consolas"/>
          <w:sz w:val="20"/>
          <w:szCs w:val="20"/>
        </w:rPr>
        <w:t xml:space="preserve">  /etc/network/ \</w:t>
      </w:r>
      <w:r/>
    </w:p>
    <w:p>
      <w:pPr>
        <w:pBdr>
          <w:top w:val="none" w:color="000000" w:sz="0" w:space="0"/>
          <w:left w:val="single" w:color="cccccc" w:sz="4" w:space="0"/>
          <w:bottom w:val="none" w:color="000000" w:sz="0" w:space="0"/>
          <w:right w:val="single" w:color="cccccc" w:sz="4" w:space="0"/>
        </w:pBdr>
        <w:shd w:val="clear" w:color="auto" w:fill="f2f2f2"/>
        <w:spacing w:after="0" w:before="0"/>
        <w:ind/>
        <w:rPr/>
      </w:pPr>
      <w:r>
        <w:rPr>
          <w:rFonts w:ascii="Consolas" w:hAnsi="Consolas" w:eastAsia="Consolas" w:cs="Consolas"/>
          <w:sz w:val="20"/>
          <w:szCs w:val="20"/>
        </w:rPr>
        <w:t xml:space="preserve">  /etc/hosts \</w:t>
      </w:r>
      <w:r/>
    </w:p>
    <w:p>
      <w:pPr>
        <w:pBdr>
          <w:top w:val="none" w:color="000000" w:sz="0" w:space="0"/>
          <w:left w:val="single" w:color="cccccc" w:sz="4" w:space="0"/>
          <w:bottom w:val="single" w:color="cccccc" w:sz="4" w:space="0"/>
          <w:right w:val="single" w:color="cccccc" w:sz="4" w:space="0"/>
        </w:pBdr>
        <w:shd w:val="clear" w:color="auto" w:fill="f2f2f2"/>
        <w:spacing w:after="100" w:before="0"/>
        <w:ind/>
        <w:rPr/>
      </w:pPr>
      <w:r>
        <w:rPr>
          <w:rFonts w:ascii="Consolas" w:hAnsi="Consolas" w:eastAsia="Consolas" w:cs="Consolas"/>
          <w:sz w:val="20"/>
          <w:szCs w:val="20"/>
        </w:rPr>
        <w:t xml:space="preserve">  /etc/hostname</w:t>
      </w:r>
      <w:r/>
    </w:p>
    <w:p>
      <w:pPr>
        <w:pBdr/>
        <w:spacing w:after="120"/>
        <w:ind/>
        <w:rPr/>
      </w:pPr>
      <w:r>
        <w:t xml:space="preserve">After the command completes, the file proxmox-config-backup.tar.gz contains the complete host configuration and can be safely stored externally for disaster recovery.</w:t>
      </w:r>
      <w:r/>
    </w:p>
    <w:p>
      <w:pPr>
        <w:pBdr/>
        <w:spacing/>
        <w:ind/>
        <w:rPr/>
      </w:pPr>
      <w:r/>
      <w:r/>
    </w:p>
    <w:p>
      <w:pPr>
        <w:pStyle w:val="828"/>
        <w:pBdr/>
        <w:spacing/>
        <w:ind/>
        <w:rPr/>
      </w:pPr>
      <w:r>
        <w:t xml:space="preserve">1.8  Backing up a Proxmox Virtual Machine</w:t>
      </w:r>
      <w:r/>
    </w:p>
    <w:p>
      <w:pPr>
        <w:pBdr/>
        <w:spacing w:after="120"/>
        <w:ind/>
        <w:rPr/>
      </w:pPr>
      <w:r>
        <w:t xml:space="preserve">Proxmox VE offers an integrated VM backup mechanism that supports both scheduled and on-demand operation.</w:t>
      </w:r>
      <w:r/>
    </w:p>
    <w:p>
      <w:pPr>
        <w:pStyle w:val="829"/>
        <w:pBdr/>
        <w:spacing/>
        <w:ind/>
        <w:rPr/>
      </w:pPr>
      <w:r>
        <w:t xml:space="preserve">Scheduled Backup</w:t>
      </w:r>
      <w:r/>
    </w:p>
    <w:p>
      <w:pPr>
        <w:pStyle w:val="819"/>
        <w:numPr>
          <w:ilvl w:val="0"/>
          <w:numId w:val="13"/>
        </w:numPr>
        <w:pBdr/>
        <w:spacing/>
        <w:ind/>
        <w:rPr/>
      </w:pPr>
      <w:r>
        <w:t xml:space="preserve">Navigate to </w:t>
      </w:r>
      <w:r>
        <w:rPr>
          <w:b/>
          <w:bCs/>
        </w:rPr>
        <w:t xml:space="preserve">Datacenter → Backup</w:t>
      </w:r>
      <w:r>
        <w:t xml:space="preserve"> and click </w:t>
      </w:r>
      <w:r>
        <w:rPr>
          <w:b/>
          <w:bCs/>
        </w:rPr>
        <w:t xml:space="preserve">Add</w:t>
      </w:r>
      <w:r>
        <w:t xml:space="preserve">.</w:t>
      </w:r>
      <w:r/>
    </w:p>
    <w:p>
      <w:pPr>
        <w:pStyle w:val="819"/>
        <w:numPr>
          <w:ilvl w:val="0"/>
          <w:numId w:val="13"/>
        </w:numPr>
        <w:pBdr/>
        <w:spacing/>
        <w:ind/>
        <w:rPr/>
      </w:pPr>
      <w:r>
        <w:t xml:space="preserve">Configure the following options:</w:t>
      </w:r>
      <w:r/>
    </w:p>
    <w:p>
      <w:pPr>
        <w:pStyle w:val="819"/>
        <w:numPr>
          <w:ilvl w:val="0"/>
          <w:numId w:val="2"/>
        </w:numPr>
        <w:pBdr/>
        <w:spacing/>
        <w:ind/>
        <w:rPr/>
      </w:pPr>
      <w:r>
        <w:rPr>
          <w:b/>
          <w:bCs/>
        </w:rPr>
        <w:t xml:space="preserve">Node:</w:t>
      </w:r>
      <w:r>
        <w:t xml:space="preserve"> Which Proxmox server to back up.</w:t>
      </w:r>
      <w:r/>
    </w:p>
    <w:p>
      <w:pPr>
        <w:pStyle w:val="819"/>
        <w:numPr>
          <w:ilvl w:val="0"/>
          <w:numId w:val="2"/>
        </w:numPr>
        <w:pBdr/>
        <w:spacing/>
        <w:ind/>
        <w:rPr/>
      </w:pPr>
      <w:r>
        <w:rPr>
          <w:b/>
          <w:bCs/>
        </w:rPr>
        <w:t xml:space="preserve">Storage:</w:t>
      </w:r>
      <w:r>
        <w:t xml:space="preserve"> Where the backup files will be written.</w:t>
      </w:r>
      <w:r/>
    </w:p>
    <w:p>
      <w:pPr>
        <w:pStyle w:val="819"/>
        <w:numPr>
          <w:ilvl w:val="0"/>
          <w:numId w:val="2"/>
        </w:numPr>
        <w:pBdr/>
        <w:spacing/>
        <w:ind/>
        <w:rPr/>
      </w:pPr>
      <w:r>
        <w:rPr>
          <w:b/>
          <w:bCs/>
        </w:rPr>
        <w:t xml:space="preserve">Schedule:</w:t>
      </w:r>
      <w:r>
        <w:t xml:space="preserve"> How frequently the backup should run.</w:t>
      </w:r>
      <w:r/>
    </w:p>
    <w:p>
      <w:pPr>
        <w:pStyle w:val="819"/>
        <w:numPr>
          <w:ilvl w:val="0"/>
          <w:numId w:val="2"/>
        </w:numPr>
        <w:pBdr/>
        <w:spacing/>
        <w:ind/>
        <w:rPr/>
      </w:pPr>
      <w:r>
        <w:rPr>
          <w:b/>
          <w:bCs/>
        </w:rPr>
        <w:t xml:space="preserve">Mode:</w:t>
      </w:r>
      <w:r>
        <w:t xml:space="preserve"> </w:t>
      </w:r>
      <w:r>
        <w:rPr>
          <w:i/>
          <w:iCs/>
        </w:rPr>
        <w:t xml:space="preserve">Snapshot</w:t>
      </w:r>
      <w:r>
        <w:t xml:space="preserve"> (VM stays running, near-zero downtime) or </w:t>
      </w:r>
      <w:r>
        <w:rPr>
          <w:i/>
          <w:iCs/>
        </w:rPr>
        <w:t xml:space="preserve">Stop</w:t>
      </w:r>
      <w:r>
        <w:t xml:space="preserve"> (more reliable, brief downtime).</w:t>
      </w:r>
      <w:r/>
    </w:p>
    <w:p>
      <w:pPr>
        <w:pStyle w:val="819"/>
        <w:numPr>
          <w:ilvl w:val="0"/>
          <w:numId w:val="2"/>
        </w:numPr>
        <w:pBdr/>
        <w:spacing/>
        <w:ind/>
        <w:rPr/>
      </w:pPr>
      <w:r>
        <w:rPr>
          <w:b/>
          <w:bCs/>
        </w:rPr>
        <w:t xml:space="preserve">Selection:</w:t>
      </w:r>
      <w:r>
        <w:t xml:space="preserve"> Which VMs to include in the job.</w:t>
      </w:r>
      <w:r/>
    </w:p>
    <w:p>
      <w:pPr>
        <w:pStyle w:val="819"/>
        <w:numPr>
          <w:ilvl w:val="0"/>
          <w:numId w:val="13"/>
        </w:numPr>
        <w:pBdr/>
        <w:spacing/>
        <w:ind/>
        <w:rPr/>
      </w:pPr>
      <w:r>
        <w:t xml:space="preserve">Click Create to save the backup job.</w:t>
      </w:r>
      <w:r/>
    </w:p>
    <w:p>
      <w:pPr>
        <w:pStyle w:val="829"/>
        <w:pBdr/>
        <w:spacing/>
        <w:ind/>
        <w:rPr/>
      </w:pPr>
      <w:r>
        <w:t xml:space="preserve">Immediate Backup</w:t>
      </w:r>
      <w:r/>
    </w:p>
    <w:p>
      <w:pPr>
        <w:pStyle w:val="819"/>
        <w:numPr>
          <w:ilvl w:val="0"/>
          <w:numId w:val="14"/>
        </w:numPr>
        <w:pBdr/>
        <w:spacing/>
        <w:ind/>
        <w:rPr/>
      </w:pPr>
      <w:r>
        <w:t xml:space="preserve">Navigate to </w:t>
      </w:r>
      <w:r>
        <w:rPr>
          <w:b/>
          <w:bCs/>
        </w:rPr>
        <w:t xml:space="preserve">VM → Backup</w:t>
      </w:r>
      <w:r>
        <w:t xml:space="preserve"> and click </w:t>
      </w:r>
      <w:r>
        <w:rPr>
          <w:b/>
          <w:bCs/>
        </w:rPr>
        <w:t xml:space="preserve">Backup now</w:t>
      </w:r>
      <w:r>
        <w:t xml:space="preserve">.</w:t>
      </w:r>
      <w:r/>
    </w:p>
    <w:p>
      <w:pPr>
        <w:pStyle w:val="819"/>
        <w:numPr>
          <w:ilvl w:val="0"/>
          <w:numId w:val="14"/>
        </w:numPr>
        <w:pBdr/>
        <w:spacing/>
        <w:ind/>
        <w:rPr/>
      </w:pPr>
      <w:r>
        <w:t xml:space="preserve">Choose the storage and backup mode and click Backup.</w:t>
      </w:r>
      <w:r/>
    </w:p>
    <w:p>
      <w:pPr>
        <w:pStyle w:val="829"/>
        <w:pBdr/>
        <w:spacing/>
        <w:ind/>
        <w:rPr/>
      </w:pPr>
      <w:r>
        <w:t xml:space="preserve">Restoring a VM from Backup</w:t>
      </w:r>
      <w:r/>
    </w:p>
    <w:p>
      <w:pPr>
        <w:pStyle w:val="819"/>
        <w:numPr>
          <w:ilvl w:val="0"/>
          <w:numId w:val="15"/>
        </w:numPr>
        <w:pBdr/>
        <w:spacing/>
        <w:ind/>
        <w:rPr/>
      </w:pPr>
      <w:r>
        <w:t xml:space="preserve">Navigate to </w:t>
      </w:r>
      <w:r>
        <w:rPr>
          <w:b/>
          <w:bCs/>
        </w:rPr>
        <w:t xml:space="preserve">local (pve) → Backups</w:t>
      </w:r>
      <w:r>
        <w:t xml:space="preserve">.</w:t>
      </w:r>
      <w:r/>
    </w:p>
    <w:p>
      <w:pPr>
        <w:pStyle w:val="819"/>
        <w:numPr>
          <w:ilvl w:val="0"/>
          <w:numId w:val="15"/>
        </w:numPr>
        <w:pBdr/>
        <w:spacing/>
        <w:ind/>
        <w:rPr/>
      </w:pPr>
      <w:r>
        <w:t xml:space="preserve">Select the backup file and click Restore.</w:t>
      </w:r>
      <w:r/>
    </w:p>
    <w:p>
      <w:pPr>
        <w:pStyle w:val="819"/>
        <w:numPr>
          <w:ilvl w:val="0"/>
          <w:numId w:val="15"/>
        </w:numPr>
        <w:pBdr/>
        <w:spacing/>
        <w:ind/>
        <w:rPr/>
      </w:pPr>
      <w:r>
        <w:t xml:space="preserve">Choose the target VM ID and storage and click Restore.</w:t>
      </w:r>
      <w:r/>
    </w:p>
    <w:p>
      <w:pPr>
        <w:pBdr/>
        <w:spacing/>
        <w:ind/>
        <w:rPr/>
      </w:pPr>
      <w:r/>
      <w:r/>
    </w:p>
    <w:p>
      <w:pPr>
        <w:pStyle w:val="828"/>
        <w:pBdr/>
        <w:spacing/>
        <w:ind/>
        <w:rPr/>
      </w:pPr>
      <w:r>
        <w:t xml:space="preserve">1.9  Using Snapshots</w:t>
      </w:r>
      <w:r/>
    </w:p>
    <w:p>
      <w:pPr>
        <w:pBdr/>
        <w:spacing w:after="120"/>
        <w:ind/>
        <w:rPr/>
      </w:pPr>
      <w:r>
        <w:t xml:space="preserve">Snapshots capture the state of a virtual machine at a specific point in time, enabling rollback if subsequent changes cause problems.</w:t>
      </w:r>
      <w:r/>
    </w:p>
    <w:p>
      <w:pPr>
        <w:pBdr>
          <w:top w:val="single" w:color="d9822b" w:sz="6" w:space="0"/>
          <w:left w:val="single" w:color="d9822b" w:sz="18" w:space="0"/>
          <w:bottom w:val="single" w:color="d9822b" w:sz="6" w:space="0"/>
          <w:right w:val="single" w:color="d9822b" w:sz="6" w:space="0"/>
        </w:pBdr>
        <w:shd w:val="clear" w:color="auto" w:fill="fdf2e9"/>
        <w:spacing w:after="150" w:before="150"/>
        <w:ind/>
        <w:rPr/>
      </w:pPr>
      <w:r>
        <w:rPr>
          <w:b/>
          <w:bCs/>
          <w:color w:val="8b5a1b"/>
        </w:rPr>
        <w:t xml:space="preserve">Snapshots are not backups: </w:t>
      </w:r>
      <w:r>
        <w:t xml:space="preserve">Snapshots are stored on the same storage as the VM itself. They protect against software-level issues but not against hardware failure or storage loss.</w:t>
      </w:r>
      <w:r/>
    </w:p>
    <w:p>
      <w:pPr>
        <w:pStyle w:val="829"/>
        <w:pBdr/>
        <w:spacing/>
        <w:ind/>
        <w:rPr/>
      </w:pPr>
      <w:r>
        <w:t xml:space="preserve">Creating a Snapshot</w:t>
      </w:r>
      <w:r/>
    </w:p>
    <w:p>
      <w:pPr>
        <w:pStyle w:val="819"/>
        <w:numPr>
          <w:ilvl w:val="0"/>
          <w:numId w:val="16"/>
        </w:numPr>
        <w:pBdr/>
        <w:spacing/>
        <w:ind/>
        <w:rPr/>
      </w:pPr>
      <w:r>
        <w:t xml:space="preserve">Navigate to </w:t>
      </w:r>
      <w:r>
        <w:rPr>
          <w:b/>
          <w:bCs/>
        </w:rPr>
        <w:t xml:space="preserve">VM → Snapshots</w:t>
      </w:r>
      <w:r>
        <w:t xml:space="preserve"> and click </w:t>
      </w:r>
      <w:r>
        <w:rPr>
          <w:b/>
          <w:bCs/>
        </w:rPr>
        <w:t xml:space="preserve">Take Snapshot</w:t>
      </w:r>
      <w:r>
        <w:t xml:space="preserve">.</w:t>
      </w:r>
      <w:r/>
    </w:p>
    <w:p>
      <w:pPr>
        <w:pStyle w:val="819"/>
        <w:numPr>
          <w:ilvl w:val="0"/>
          <w:numId w:val="16"/>
        </w:numPr>
        <w:pBdr/>
        <w:spacing/>
        <w:ind/>
        <w:rPr/>
      </w:pPr>
      <w:r>
        <w:t xml:space="preserve">Enter a name and optionally a description.</w:t>
      </w:r>
      <w:r/>
    </w:p>
    <w:p>
      <w:pPr>
        <w:pStyle w:val="819"/>
        <w:numPr>
          <w:ilvl w:val="0"/>
          <w:numId w:val="16"/>
        </w:numPr>
        <w:pBdr/>
        <w:spacing/>
        <w:ind/>
        <w:rPr/>
      </w:pPr>
      <w:r>
        <w:t xml:space="preserve">Click Take Snapshot.</w:t>
      </w:r>
      <w:r/>
    </w:p>
    <w:p>
      <w:pPr>
        <w:pStyle w:val="829"/>
        <w:pBdr/>
        <w:spacing/>
        <w:ind/>
        <w:rPr/>
      </w:pPr>
      <w:r>
        <w:t xml:space="preserve">Restoring a Snapshot</w:t>
      </w:r>
      <w:r/>
    </w:p>
    <w:p>
      <w:pPr>
        <w:pStyle w:val="819"/>
        <w:numPr>
          <w:ilvl w:val="0"/>
          <w:numId w:val="17"/>
        </w:numPr>
        <w:pBdr/>
        <w:spacing/>
        <w:ind/>
        <w:rPr/>
      </w:pPr>
      <w:r>
        <w:t xml:space="preserve">Navigate to </w:t>
      </w:r>
      <w:r>
        <w:rPr>
          <w:b/>
          <w:bCs/>
        </w:rPr>
        <w:t xml:space="preserve">VM → Snapshots</w:t>
      </w:r>
      <w:r>
        <w:t xml:space="preserve">.</w:t>
      </w:r>
      <w:r/>
    </w:p>
    <w:p>
      <w:pPr>
        <w:pStyle w:val="819"/>
        <w:numPr>
          <w:ilvl w:val="0"/>
          <w:numId w:val="17"/>
        </w:numPr>
        <w:pBdr/>
        <w:spacing/>
        <w:ind/>
        <w:rPr/>
      </w:pPr>
      <w:r>
        <w:t xml:space="preserve">Select the snapshot to restore and click Rollback.</w:t>
      </w:r>
      <w:r/>
    </w:p>
    <w:p>
      <w:pPr>
        <w:pStyle w:val="819"/>
        <w:numPr>
          <w:ilvl w:val="0"/>
          <w:numId w:val="17"/>
        </w:numPr>
        <w:pBdr/>
        <w:spacing/>
        <w:ind/>
        <w:rPr/>
      </w:pPr>
      <w:r>
        <w:t xml:space="preserve">Confirm with Yes.</w:t>
      </w:r>
      <w:r/>
    </w:p>
    <w:p>
      <w:pPr>
        <w:pBdr/>
        <w:spacing/>
        <w:ind/>
        <w:rPr/>
      </w:pPr>
      <w:r/>
      <w:r/>
    </w:p>
    <w:p>
      <w:pPr>
        <w:pStyle w:val="828"/>
        <w:pBdr/>
        <w:spacing/>
        <w:ind/>
        <w:rPr/>
      </w:pPr>
      <w:r>
        <w:t xml:space="preserve">1.10  Creating a VM Template</w:t>
      </w:r>
      <w:r/>
    </w:p>
    <w:p>
      <w:pPr>
        <w:pBdr/>
        <w:spacing w:after="120"/>
        <w:ind/>
        <w:rPr/>
      </w:pPr>
      <w:r>
        <w:t xml:space="preserve">A template is a read-only base VM from which new VMs can be cloned quickly. This is useful for standardising deployments.</w:t>
      </w:r>
      <w:r/>
    </w:p>
    <w:p>
      <w:pPr>
        <w:pStyle w:val="819"/>
        <w:numPr>
          <w:ilvl w:val="0"/>
          <w:numId w:val="18"/>
        </w:numPr>
        <w:pBdr/>
        <w:spacing/>
        <w:ind/>
        <w:rPr/>
      </w:pPr>
      <w:r>
        <w:t xml:space="preserve">Choose the VM to convert and ensure it is shut down.</w:t>
      </w:r>
      <w:r/>
    </w:p>
    <w:p>
      <w:pPr>
        <w:pStyle w:val="819"/>
        <w:numPr>
          <w:ilvl w:val="0"/>
          <w:numId w:val="18"/>
        </w:numPr>
        <w:pBdr/>
        <w:spacing/>
        <w:ind/>
        <w:rPr/>
      </w:pPr>
      <w:r>
        <w:t xml:space="preserve">Right-click the VM in the sidebar and select Convert to Template.</w:t>
      </w:r>
      <w:r/>
    </w:p>
    <w:p>
      <w:pPr>
        <w:pStyle w:val="819"/>
        <w:numPr>
          <w:ilvl w:val="0"/>
          <w:numId w:val="18"/>
        </w:numPr>
        <w:pBdr/>
        <w:spacing/>
        <w:ind/>
        <w:rPr/>
      </w:pPr>
      <w:r>
        <w:t xml:space="preserve">Confirm with Yes.</w:t>
      </w:r>
      <w:r/>
    </w:p>
    <w:p>
      <w:pPr>
        <w:pBdr>
          <w:top w:val="single" w:color="2e74b5" w:sz="6" w:space="0"/>
          <w:left w:val="single" w:color="2e74b5" w:sz="18" w:space="0"/>
          <w:bottom w:val="single" w:color="2e74b5" w:sz="6" w:space="0"/>
          <w:right w:val="single" w:color="2e74b5" w:sz="6" w:space="0"/>
        </w:pBdr>
        <w:shd w:val="clear" w:color="auto" w:fill="eaf1fb"/>
        <w:spacing w:after="150" w:before="150"/>
        <w:ind/>
        <w:rPr/>
      </w:pPr>
      <w:r>
        <w:rPr>
          <w:b/>
          <w:bCs/>
          <w:color w:val="1f3864"/>
        </w:rPr>
        <w:t xml:space="preserve">Template behaviour: </w:t>
      </w:r>
      <w:r>
        <w:t xml:space="preserve">Once a VM is converted to a template, it can no longer be started. To boot it, clone it back into a regular VM first.</w:t>
      </w:r>
      <w:r/>
    </w:p>
    <w:p>
      <w:pPr>
        <w:pBdr/>
        <w:spacing/>
        <w:ind/>
        <w:rPr/>
      </w:pPr>
      <w:r/>
      <w:r/>
    </w:p>
    <w:p>
      <w:pPr>
        <w:pStyle w:val="828"/>
        <w:pBdr/>
        <w:spacing/>
        <w:ind/>
        <w:rPr/>
      </w:pPr>
      <w:r>
        <w:t xml:space="preserve">1.11  Live Storage Migration (Proxmox)</w:t>
      </w:r>
      <w:r/>
    </w:p>
    <w:p>
      <w:pPr>
        <w:pBdr/>
        <w:spacing w:after="120"/>
        <w:ind/>
        <w:rPr/>
      </w:pPr>
      <w:r>
        <w:t xml:space="preserve">Storage migration moves the virtual disks of a VM from one storage location to another. To demonstrate this with shared remote storage, the TrueNAS server is integrated as an NFS share.</w:t>
      </w:r>
      <w:r/>
    </w:p>
    <w:p>
      <w:pPr>
        <w:pStyle w:val="829"/>
        <w:pBdr/>
        <w:spacing/>
        <w:ind/>
        <w:rPr/>
      </w:pPr>
      <w:r>
        <w:t xml:space="preserve">Step 1 — Configure the NFS Share on TrueNAS</w:t>
      </w:r>
      <w:r/>
    </w:p>
    <w:p>
      <w:pPr>
        <w:pStyle w:val="819"/>
        <w:numPr>
          <w:ilvl w:val="0"/>
          <w:numId w:val="19"/>
        </w:numPr>
        <w:pBdr/>
        <w:spacing/>
        <w:ind/>
        <w:rPr/>
      </w:pPr>
      <w:r>
        <w:t xml:space="preserve">In TrueNAS, navigate to </w:t>
      </w:r>
      <w:r>
        <w:rPr>
          <w:b/>
          <w:bCs/>
        </w:rPr>
        <w:t xml:space="preserve">Shares</w:t>
      </w:r>
      <w:r>
        <w:t xml:space="preserve">.</w:t>
      </w:r>
      <w:r/>
    </w:p>
    <w:p>
      <w:pPr>
        <w:pStyle w:val="819"/>
        <w:numPr>
          <w:ilvl w:val="0"/>
          <w:numId w:val="19"/>
        </w:numPr>
        <w:pBdr/>
        <w:spacing/>
        <w:ind/>
        <w:rPr/>
      </w:pPr>
      <w:r>
        <w:t xml:space="preserve">Under </w:t>
      </w:r>
      <w:r>
        <w:rPr>
          <w:b/>
          <w:bCs/>
        </w:rPr>
        <w:t xml:space="preserve">UNIX (NFS) Shares</w:t>
      </w:r>
      <w:r>
        <w:t xml:space="preserve">, click </w:t>
      </w:r>
      <w:r>
        <w:rPr>
          <w:b/>
          <w:bCs/>
        </w:rPr>
        <w:t xml:space="preserve">Add</w:t>
      </w:r>
      <w:r>
        <w:t xml:space="preserve">.</w:t>
      </w:r>
      <w:r/>
    </w:p>
    <w:p>
      <w:pPr>
        <w:pStyle w:val="819"/>
        <w:numPr>
          <w:ilvl w:val="0"/>
          <w:numId w:val="19"/>
        </w:numPr>
        <w:pBdr/>
        <w:spacing/>
        <w:ind/>
        <w:rPr/>
      </w:pPr>
      <w:r>
        <w:t xml:space="preserve">Choose the path where the VM disk files should be stored later and enable NFS.</w:t>
      </w:r>
      <w:r/>
    </w:p>
    <w:p>
      <w:pPr>
        <w:pStyle w:val="819"/>
        <w:numPr>
          <w:ilvl w:val="0"/>
          <w:numId w:val="19"/>
        </w:numPr>
        <w:pBdr/>
        <w:spacing/>
        <w:ind/>
        <w:rPr/>
      </w:pPr>
      <w:r>
        <w:t xml:space="preserve">Click the three dots next to the new share and select </w:t>
      </w:r>
      <w:r>
        <w:rPr>
          <w:b/>
          <w:bCs/>
        </w:rPr>
        <w:t xml:space="preserve">Edit</w:t>
      </w:r>
      <w:r>
        <w:t xml:space="preserve">.</w:t>
      </w:r>
      <w:r/>
    </w:p>
    <w:p>
      <w:pPr>
        <w:pStyle w:val="819"/>
        <w:numPr>
          <w:ilvl w:val="0"/>
          <w:numId w:val="19"/>
        </w:numPr>
        <w:pBdr/>
        <w:spacing/>
        <w:ind/>
        <w:rPr/>
      </w:pPr>
      <w:r>
        <w:t xml:space="preserve">Under </w:t>
      </w:r>
      <w:r>
        <w:rPr>
          <w:b/>
          <w:bCs/>
        </w:rPr>
        <w:t xml:space="preserve">Networks</w:t>
      </w:r>
      <w:r>
        <w:t xml:space="preserve">, add the network of the Proxmox host so that it is permitted to access the share.</w:t>
      </w:r>
      <w:r/>
    </w:p>
    <w:p>
      <w:pPr>
        <w:pStyle w:val="829"/>
        <w:pBdr/>
        <w:spacing/>
        <w:ind/>
        <w:rPr/>
      </w:pPr>
      <w:r>
        <w:t xml:space="preserve">Step 2 — Mount the NFS Share on Proxmox</w:t>
      </w:r>
      <w:r/>
    </w:p>
    <w:p>
      <w:pPr>
        <w:pStyle w:val="819"/>
        <w:numPr>
          <w:ilvl w:val="0"/>
          <w:numId w:val="20"/>
        </w:numPr>
        <w:pBdr/>
        <w:spacing/>
        <w:ind/>
        <w:rPr/>
      </w:pPr>
      <w:r>
        <w:t xml:space="preserve">In Proxmox, navigate to </w:t>
      </w:r>
      <w:r>
        <w:rPr>
          <w:b/>
          <w:bCs/>
        </w:rPr>
        <w:t xml:space="preserve">Datacenter → Storage</w:t>
      </w:r>
      <w:r>
        <w:t xml:space="preserve"> and click </w:t>
      </w:r>
      <w:r>
        <w:rPr>
          <w:b/>
          <w:bCs/>
        </w:rPr>
        <w:t xml:space="preserve">Add → NFS</w:t>
      </w:r>
      <w:r>
        <w:t xml:space="preserve">.</w:t>
      </w:r>
      <w:r/>
    </w:p>
    <w:p>
      <w:pPr>
        <w:pStyle w:val="819"/>
        <w:numPr>
          <w:ilvl w:val="0"/>
          <w:numId w:val="20"/>
        </w:numPr>
        <w:pBdr/>
        <w:spacing/>
        <w:ind/>
        <w:rPr/>
      </w:pPr>
      <w:r>
        <w:t xml:space="preserve">Give the storage an ID, set the Server field to the TrueNAS IP address, and enter the export path chosen in TrueNAS.</w:t>
      </w:r>
      <w:r/>
    </w:p>
    <w:p>
      <w:pPr>
        <w:pStyle w:val="819"/>
        <w:numPr>
          <w:ilvl w:val="0"/>
          <w:numId w:val="20"/>
        </w:numPr>
        <w:pBdr/>
        <w:spacing/>
        <w:ind/>
        <w:rPr/>
      </w:pPr>
      <w:r>
        <w:t xml:space="preserve">Click Add.</w:t>
      </w:r>
      <w:r/>
    </w:p>
    <w:p>
      <w:pPr>
        <w:pStyle w:val="829"/>
        <w:pBdr/>
        <w:spacing/>
        <w:ind/>
        <w:rPr/>
      </w:pPr>
      <w:r>
        <w:t xml:space="preserve">Step 3 — Move the VM Disk</w:t>
      </w:r>
      <w:r/>
    </w:p>
    <w:p>
      <w:pPr>
        <w:pStyle w:val="819"/>
        <w:numPr>
          <w:ilvl w:val="0"/>
          <w:numId w:val="21"/>
        </w:numPr>
        <w:pBdr/>
        <w:spacing/>
        <w:ind/>
        <w:rPr/>
      </w:pPr>
      <w:r>
        <w:t xml:space="preserve">Navigate to </w:t>
      </w:r>
      <w:r>
        <w:rPr>
          <w:b/>
          <w:bCs/>
        </w:rPr>
        <w:t xml:space="preserve">VM → Hardware</w:t>
      </w:r>
      <w:r>
        <w:t xml:space="preserve"> and select the hard disk to migrate.</w:t>
      </w:r>
      <w:r/>
    </w:p>
    <w:p>
      <w:pPr>
        <w:pStyle w:val="819"/>
        <w:numPr>
          <w:ilvl w:val="0"/>
          <w:numId w:val="21"/>
        </w:numPr>
        <w:pBdr/>
        <w:spacing/>
        <w:ind/>
        <w:rPr/>
      </w:pPr>
      <w:r>
        <w:t xml:space="preserve">Click </w:t>
      </w:r>
      <w:r>
        <w:rPr>
          <w:b/>
          <w:bCs/>
        </w:rPr>
        <w:t xml:space="preserve">Disk Action → Move Storage</w:t>
      </w:r>
      <w:r>
        <w:t xml:space="preserve">.</w:t>
      </w:r>
      <w:r/>
    </w:p>
    <w:p>
      <w:pPr>
        <w:pStyle w:val="819"/>
        <w:numPr>
          <w:ilvl w:val="0"/>
          <w:numId w:val="21"/>
        </w:numPr>
        <w:pBdr/>
        <w:spacing/>
        <w:ind/>
        <w:rPr/>
      </w:pPr>
      <w:r>
        <w:t xml:space="preserve">Select the TrueNAS NFS storage as the target.</w:t>
      </w:r>
      <w:r/>
    </w:p>
    <w:p>
      <w:pPr>
        <w:pStyle w:val="819"/>
        <w:numPr>
          <w:ilvl w:val="0"/>
          <w:numId w:val="21"/>
        </w:numPr>
        <w:pBdr/>
        <w:spacing/>
        <w:ind/>
        <w:rPr/>
      </w:pPr>
      <w:r>
        <w:t xml:space="preserve">Check </w:t>
      </w:r>
      <w:r>
        <w:rPr>
          <w:b/>
          <w:bCs/>
        </w:rPr>
        <w:t xml:space="preserve">Delete source</w:t>
      </w:r>
      <w:r>
        <w:t xml:space="preserve"> if the original disk should be removed once the migration completes.</w:t>
      </w:r>
      <w:r/>
    </w:p>
    <w:p>
      <w:pPr>
        <w:pStyle w:val="819"/>
        <w:numPr>
          <w:ilvl w:val="0"/>
          <w:numId w:val="21"/>
        </w:numPr>
        <w:pBdr/>
        <w:spacing/>
        <w:ind/>
        <w:rPr/>
      </w:pPr>
      <w:r>
        <w:t xml:space="preserve">Click Move Disk.</w:t>
      </w:r>
      <w:r/>
    </w:p>
    <w:p>
      <w:pPr>
        <w:pBdr/>
        <w:spacing w:after="120"/>
        <w:ind/>
        <w:rPr/>
      </w:pPr>
      <w:r>
        <w:t xml:space="preserve">The VM remains operational throughout the migration; the actual storage move is performed in the background.</w:t>
      </w:r>
      <w:r/>
    </w:p>
    <w:p>
      <w:pPr>
        <w:pBdr/>
        <w:spacing/>
        <w:ind/>
        <w:rPr/>
      </w:pPr>
      <w:r/>
      <w:r/>
    </w:p>
    <w:p>
      <w:pPr>
        <w:pStyle w:val="828"/>
        <w:pBdr/>
        <w:spacing/>
        <w:ind/>
        <w:rPr/>
      </w:pPr>
      <w:r>
        <w:t xml:space="preserve">1.12  Live Migration Between Proxmox Hypervisors</w:t>
      </w:r>
      <w:r/>
    </w:p>
    <w:p>
      <w:pPr>
        <w:pBdr/>
        <w:spacing w:after="120"/>
        <w:ind/>
        <w:rPr/>
      </w:pPr>
      <w:r>
        <w:t xml:space="preserve">Moving a VM live between two Proxmox hosts requires both hosts to be members of the same cluster.</w:t>
      </w:r>
      <w:r/>
    </w:p>
    <w:p>
      <w:pPr>
        <w:pStyle w:val="829"/>
        <w:pBdr/>
        <w:spacing/>
        <w:ind/>
        <w:rPr/>
      </w:pPr>
      <w:r>
        <w:t xml:space="preserve">Configure a Cluster Network</w:t>
      </w:r>
      <w:r/>
    </w:p>
    <w:p>
      <w:pPr>
        <w:pStyle w:val="819"/>
        <w:numPr>
          <w:ilvl w:val="0"/>
          <w:numId w:val="22"/>
        </w:numPr>
        <w:pBdr/>
        <w:spacing/>
        <w:ind/>
        <w:rPr/>
      </w:pPr>
      <w:r>
        <w:t xml:space="preserve">Navigate to </w:t>
      </w:r>
      <w:r>
        <w:rPr>
          <w:b/>
          <w:bCs/>
        </w:rPr>
        <w:t xml:space="preserve">System → Network → Create</w:t>
      </w:r>
      <w:r>
        <w:t xml:space="preserve"> and choose a Linux bridge.</w:t>
      </w:r>
      <w:r/>
    </w:p>
    <w:p>
      <w:pPr>
        <w:pStyle w:val="819"/>
        <w:numPr>
          <w:ilvl w:val="0"/>
          <w:numId w:val="22"/>
        </w:numPr>
        <w:pBdr/>
        <w:spacing/>
        <w:ind/>
        <w:rPr/>
      </w:pPr>
      <w:r>
        <w:t xml:space="preserve">Assign a static IP address and gateway to the bridge.</w:t>
      </w:r>
      <w:r/>
    </w:p>
    <w:p>
      <w:pPr>
        <w:pStyle w:val="819"/>
        <w:numPr>
          <w:ilvl w:val="0"/>
          <w:numId w:val="22"/>
        </w:numPr>
        <w:pBdr/>
        <w:spacing/>
        <w:ind/>
        <w:rPr/>
      </w:pPr>
      <w:r>
        <w:t xml:space="preserve">Click Create.</w:t>
      </w:r>
      <w:r/>
    </w:p>
    <w:p>
      <w:pPr>
        <w:pStyle w:val="829"/>
        <w:pBdr/>
        <w:spacing/>
        <w:ind/>
        <w:rPr/>
      </w:pPr>
      <w:r>
        <w:t xml:space="preserve">Create a Cluster</w:t>
      </w:r>
      <w:r/>
    </w:p>
    <w:p>
      <w:pPr>
        <w:pStyle w:val="819"/>
        <w:numPr>
          <w:ilvl w:val="0"/>
          <w:numId w:val="23"/>
        </w:numPr>
        <w:pBdr/>
        <w:spacing/>
        <w:ind/>
        <w:rPr/>
      </w:pPr>
      <w:r>
        <w:t xml:space="preserve">Navigate to </w:t>
      </w:r>
      <w:r>
        <w:rPr>
          <w:b/>
          <w:bCs/>
        </w:rPr>
        <w:t xml:space="preserve">Datacenter → Cluster</w:t>
      </w:r>
      <w:r>
        <w:t xml:space="preserve"> and click </w:t>
      </w:r>
      <w:r>
        <w:rPr>
          <w:b/>
          <w:bCs/>
        </w:rPr>
        <w:t xml:space="preserve">Create Cluster</w:t>
      </w:r>
      <w:r>
        <w:t xml:space="preserve">.</w:t>
      </w:r>
      <w:r/>
    </w:p>
    <w:p>
      <w:pPr>
        <w:pStyle w:val="819"/>
        <w:numPr>
          <w:ilvl w:val="0"/>
          <w:numId w:val="23"/>
        </w:numPr>
        <w:pBdr/>
        <w:spacing/>
        <w:ind/>
        <w:rPr/>
      </w:pPr>
      <w:r>
        <w:t xml:space="preserve">Give the cluster a name and select the previously created cluster network.</w:t>
      </w:r>
      <w:r/>
    </w:p>
    <w:p>
      <w:pPr>
        <w:pStyle w:val="819"/>
        <w:numPr>
          <w:ilvl w:val="0"/>
          <w:numId w:val="23"/>
        </w:numPr>
        <w:pBdr/>
        <w:spacing/>
        <w:ind/>
        <w:rPr/>
      </w:pPr>
      <w:r>
        <w:t xml:space="preserve">Click Create.</w:t>
      </w:r>
      <w:r/>
    </w:p>
    <w:p>
      <w:pPr>
        <w:pStyle w:val="819"/>
        <w:numPr>
          <w:ilvl w:val="0"/>
          <w:numId w:val="23"/>
        </w:numPr>
        <w:pBdr/>
        <w:spacing/>
        <w:ind/>
        <w:rPr/>
      </w:pPr>
      <w:r>
        <w:t xml:space="preserve">Open </w:t>
      </w:r>
      <w:r>
        <w:rPr>
          <w:b/>
          <w:bCs/>
        </w:rPr>
        <w:t xml:space="preserve">Join Information</w:t>
      </w:r>
      <w:r>
        <w:t xml:space="preserve"> and copy the cluster join token.</w:t>
      </w:r>
      <w:r/>
    </w:p>
    <w:p>
      <w:pPr>
        <w:pStyle w:val="819"/>
        <w:numPr>
          <w:ilvl w:val="0"/>
          <w:numId w:val="23"/>
        </w:numPr>
        <w:pBdr/>
        <w:spacing/>
        <w:ind/>
        <w:rPr/>
      </w:pPr>
      <w:r>
        <w:t xml:space="preserve">On the second Proxmox host, navigate to Datacenter → Cluster and click Join Cluster.</w:t>
      </w:r>
      <w:r/>
    </w:p>
    <w:p>
      <w:pPr>
        <w:pStyle w:val="819"/>
        <w:numPr>
          <w:ilvl w:val="0"/>
          <w:numId w:val="23"/>
        </w:numPr>
        <w:pBdr/>
        <w:spacing/>
        <w:ind/>
        <w:rPr/>
      </w:pPr>
      <w:r>
        <w:t xml:space="preserve">Paste the join information, enter the password of the first server, and click Join.</w:t>
      </w:r>
      <w:r/>
    </w:p>
    <w:p>
      <w:pPr>
        <w:pStyle w:val="829"/>
        <w:pBdr/>
        <w:spacing/>
        <w:ind/>
        <w:rPr/>
      </w:pPr>
      <w:r>
        <w:t xml:space="preserve">Migrate the VM</w:t>
      </w:r>
      <w:r/>
    </w:p>
    <w:p>
      <w:pPr>
        <w:pStyle w:val="819"/>
        <w:numPr>
          <w:ilvl w:val="0"/>
          <w:numId w:val="24"/>
        </w:numPr>
        <w:pBdr/>
        <w:spacing/>
        <w:ind/>
        <w:rPr/>
      </w:pPr>
      <w:r>
        <w:t xml:space="preserve">Navigate to </w:t>
      </w:r>
      <w:r>
        <w:rPr>
          <w:b/>
          <w:bCs/>
        </w:rPr>
        <w:t xml:space="preserve">VM → Hardware</w:t>
      </w:r>
      <w:r>
        <w:t xml:space="preserve"> and remove any attached CD/DVD media, which would block the migration.</w:t>
      </w:r>
      <w:r/>
    </w:p>
    <w:p>
      <w:pPr>
        <w:pStyle w:val="819"/>
        <w:numPr>
          <w:ilvl w:val="0"/>
          <w:numId w:val="24"/>
        </w:numPr>
        <w:pBdr/>
        <w:spacing/>
        <w:ind/>
        <w:rPr/>
      </w:pPr>
      <w:r>
        <w:t xml:space="preserve">Right-click the VM and select Migrate.</w:t>
      </w:r>
      <w:r/>
    </w:p>
    <w:p>
      <w:pPr>
        <w:pStyle w:val="819"/>
        <w:numPr>
          <w:ilvl w:val="0"/>
          <w:numId w:val="24"/>
        </w:numPr>
        <w:pBdr/>
        <w:spacing/>
        <w:ind/>
        <w:rPr/>
      </w:pPr>
      <w:r>
        <w:t xml:space="preserve">Choose the target node and click Migrate.</w:t>
      </w:r>
      <w:r/>
    </w:p>
    <w:p>
      <w:pPr>
        <w:pBdr/>
        <w:spacing w:after="120"/>
        <w:ind/>
        <w:rPr/>
      </w:pPr>
      <w:r>
        <w:t xml:space="preserve">The VM is transferred live to the destination host with negligible downtime (typically only the brief switch-over period of vMotion-equivalent technology).</w:t>
      </w:r>
      <w:r/>
    </w:p>
    <w:p>
      <w:pPr>
        <w:pBdr/>
        <w:spacing/>
        <w:ind/>
        <w:rPr/>
      </w:pPr>
      <w:r/>
      <w:r/>
    </w:p>
    <w:p>
      <w:pPr>
        <w:pStyle w:val="828"/>
        <w:pBdr/>
        <w:spacing/>
        <w:ind/>
        <w:rPr/>
      </w:pPr>
      <w:r>
        <w:t xml:space="preserve">1.13  High Availability on Proxmox</w:t>
      </w:r>
      <w:r/>
    </w:p>
    <w:p>
      <w:pPr>
        <w:pBdr/>
        <w:spacing w:after="120"/>
        <w:ind/>
        <w:rPr/>
      </w:pPr>
      <w:r>
        <w:t xml:space="preserve">High Availability in Proxmox is built directly on top of the cluster mechanism described above. Once at least three nodes are clustered (for proper quorum), VMs can be configured as HA resources vi</w:t>
      </w:r>
      <w:r>
        <w:t xml:space="preserve">a Datacenter → HA. The Proxmox HA stack automatically restarts the affected VMs on surviving nodes after a host failure. As the specialisation of this project focuses on the VMware implementation of HA, the detailed configuration is documented in Part III.</w:t>
      </w:r>
      <w:r/>
    </w:p>
    <w:p>
      <w:pPr>
        <w:pBdr/>
        <w:spacing/>
        <w:ind/>
        <w:rPr/>
      </w:pPr>
      <w:r/>
      <w:r/>
    </w:p>
    <w:p>
      <w:pPr>
        <w:pStyle w:val="827"/>
        <w:pageBreakBefore w:val="true"/>
        <w:pBdr/>
        <w:spacing/>
        <w:ind/>
        <w:rPr/>
      </w:pPr>
      <w:r>
        <w:t xml:space="preserve">Part II — VMware ESXi Implementation</w:t>
      </w:r>
      <w:r/>
    </w:p>
    <w:p>
      <w:pPr>
        <w:pBdr/>
        <w:spacing w:after="120"/>
        <w:ind/>
        <w:rPr/>
      </w:pPr>
      <w:r>
        <w:t xml:space="preserve">This part documents the implementation of all required features on the VMware E</w:t>
      </w:r>
      <w:r>
        <w:t xml:space="preserve">SXi hypervisor. Where the standalone ESXi host UI is sufficient for a feature, the implementation is shown via the host web client; where vCenter Server is required (clustering, vMotion, HA, central permission management, etc.), the vSphere Client is used.</w:t>
      </w:r>
      <w:r/>
    </w:p>
    <w:p>
      <w:pPr>
        <w:pBdr/>
        <w:spacing/>
        <w:ind/>
        <w:rPr/>
      </w:pPr>
      <w:r/>
      <w:r/>
    </w:p>
    <w:p>
      <w:pPr>
        <w:pStyle w:val="828"/>
        <w:pBdr/>
        <w:spacing/>
        <w:ind/>
        <w:rPr/>
      </w:pPr>
      <w:r>
        <w:t xml:space="preserve">2.1  ESXi Hypervisor Installation</w:t>
      </w:r>
      <w:r/>
    </w:p>
    <w:p>
      <w:pPr>
        <w:pBdr/>
        <w:spacing w:after="120"/>
        <w:ind/>
        <w:rPr/>
      </w:pPr>
      <w:r>
        <w:t xml:space="preserve">The VMware ESXi installation procedure is similar to that of Proxmox VE, using the HP iLO 5 management interface to mount the installation ISO remotely.</w:t>
      </w:r>
      <w:r/>
    </w:p>
    <w:p>
      <w:pPr>
        <w:pStyle w:val="819"/>
        <w:numPr>
          <w:ilvl w:val="0"/>
          <w:numId w:val="25"/>
        </w:numPr>
        <w:pBdr/>
        <w:spacing/>
        <w:ind/>
        <w:rPr/>
      </w:pPr>
      <w:r>
        <w:t xml:space="preserve">Connect to iLO 5 and click Console.</w:t>
      </w:r>
      <w:r/>
    </w:p>
    <w:p>
      <w:pPr>
        <w:pStyle w:val="819"/>
        <w:numPr>
          <w:ilvl w:val="0"/>
          <w:numId w:val="25"/>
        </w:numPr>
        <w:pBdr/>
        <w:spacing/>
        <w:ind/>
        <w:rPr/>
      </w:pPr>
      <w:r>
        <w:t xml:space="preserve">Choose the HTML5 console.</w:t>
      </w:r>
      <w:r/>
    </w:p>
    <w:p>
      <w:pPr>
        <w:pStyle w:val="819"/>
        <w:numPr>
          <w:ilvl w:val="0"/>
          <w:numId w:val="25"/>
        </w:numPr>
        <w:pBdr/>
        <w:spacing/>
        <w:ind/>
        <w:rPr/>
      </w:pPr>
      <w:r>
        <w:t xml:space="preserve">Click Disk → Local and select the ESXi installer ISO.</w:t>
      </w:r>
      <w:r/>
    </w:p>
    <w:p>
      <w:pPr>
        <w:pBdr>
          <w:top w:val="single" w:color="2e74b5" w:sz="6" w:space="0"/>
          <w:left w:val="single" w:color="2e74b5" w:sz="18" w:space="0"/>
          <w:bottom w:val="single" w:color="2e74b5" w:sz="6" w:space="0"/>
          <w:right w:val="single" w:color="2e74b5" w:sz="6" w:space="0"/>
        </w:pBdr>
        <w:shd w:val="clear" w:color="auto" w:fill="eaf1fb"/>
        <w:spacing w:after="150" w:before="150"/>
        <w:ind/>
        <w:rPr/>
      </w:pPr>
      <w:r>
        <w:rPr>
          <w:b/>
          <w:bCs/>
          <w:color w:val="1f3864"/>
        </w:rPr>
        <w:t xml:space="preserve">Keyboard issues: </w:t>
      </w:r>
      <w:r>
        <w:t xml:space="preserve">During the project, the in-browser HTML5 console exhibited keyboard mapping problems. As a workaround, the HPE iLO Remote Console application was installed locally and used instead, which resolved the issue.</w:t>
      </w:r>
      <w:r/>
    </w:p>
    <w:p>
      <w:pPr>
        <w:pStyle w:val="819"/>
        <w:numPr>
          <w:ilvl w:val="0"/>
          <w:numId w:val="25"/>
        </w:numPr>
        <w:pBdr/>
        <w:spacing/>
        <w:ind/>
        <w:rPr/>
      </w:pPr>
      <w:r>
        <w:t xml:space="preserve">When the installer boots, confirm with Enter.</w:t>
      </w:r>
      <w:r/>
    </w:p>
    <w:p>
      <w:pPr>
        <w:pStyle w:val="819"/>
        <w:numPr>
          <w:ilvl w:val="0"/>
          <w:numId w:val="25"/>
        </w:numPr>
        <w:pBdr/>
        <w:spacing/>
        <w:ind/>
        <w:rPr/>
      </w:pPr>
      <w:r>
        <w:t xml:space="preserve">Press F11 to accept the End User License Agreement.</w:t>
      </w:r>
      <w:r/>
    </w:p>
    <w:p>
      <w:pPr>
        <w:pStyle w:val="819"/>
        <w:numPr>
          <w:ilvl w:val="0"/>
          <w:numId w:val="25"/>
        </w:numPr>
        <w:pBdr/>
        <w:spacing/>
        <w:ind/>
        <w:rPr/>
      </w:pPr>
      <w:r>
        <w:t xml:space="preserve">Select the SSD as the installation target and press Enter.</w:t>
      </w:r>
      <w:r/>
    </w:p>
    <w:p>
      <w:pPr>
        <w:pStyle w:val="819"/>
        <w:numPr>
          <w:ilvl w:val="0"/>
          <w:numId w:val="25"/>
        </w:numPr>
        <w:pBdr/>
        <w:spacing/>
        <w:ind/>
        <w:rPr/>
      </w:pPr>
      <w:r>
        <w:t xml:space="preserve">Choose the Swiss French keyboard layout.</w:t>
      </w:r>
      <w:r/>
    </w:p>
    <w:p>
      <w:pPr>
        <w:pStyle w:val="819"/>
        <w:numPr>
          <w:ilvl w:val="0"/>
          <w:numId w:val="25"/>
        </w:numPr>
        <w:pBdr/>
        <w:spacing/>
        <w:ind/>
        <w:rPr/>
      </w:pPr>
      <w:r>
        <w:t xml:space="preserve">Set the root password.</w:t>
      </w:r>
      <w:r/>
    </w:p>
    <w:p>
      <w:pPr>
        <w:pBdr/>
        <w:spacing w:after="120"/>
        <w:ind/>
        <w:rPr/>
      </w:pPr>
      <w:r>
        <w:t xml:space="preserve">A warning may appear stating that the CPU may not be supported in future ESXi releases. This warning is acknowledged with Next; in the lab the current hardware is fully supported.</w:t>
      </w:r>
      <w:r/>
    </w:p>
    <w:p>
      <w:pPr>
        <w:pBdr/>
        <w:spacing w:after="120" w:before="120"/>
        <w:ind/>
        <w:jc w:val="center"/>
        <w:rPr/>
      </w:pPr>
      <w:r>
        <mc:AlternateContent>
          <mc:Choice Requires="wpg">
            <w:drawing>
              <wp:inline xmlns:wp="http://schemas.openxmlformats.org/drawingml/2006/wordprocessingDrawing" distT="0" distB="0" distL="0" distR="0">
                <wp:extent cx="5143500" cy="1952625"/>
                <wp:effectExtent l="0" t="0" r="0" b="0"/>
                <wp:docPr id="1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pic:cNvPicPr>
                        <pic:nvPr/>
                      </pic:nvPicPr>
                      <pic:blipFill rotWithShape="1">
                        <a:blip r:embed="rId24"/>
                        <a:stretch/>
                      </pic:blipFill>
                      <pic:spPr bwMode="auto">
                        <a:xfrm>
                          <a:off x="0" y="0"/>
                          <a:ext cx="5143500" cy="195262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 o:spid="_x0000_s13" type="#_x0000_t75" style="width:405.00pt;height:153.75pt;mso-wrap-distance-left:0.00pt;mso-wrap-distance-top:0.00pt;mso-wrap-distance-right:0.00pt;mso-wrap-distance-bottom:0.00pt;z-index:1;" stroked="false">
                <v:imagedata r:id="rId24" o:title=""/>
                <o:lock v:ext="edit" rotation="t"/>
              </v:shape>
            </w:pict>
          </mc:Fallback>
        </mc:AlternateContent>
      </w:r>
      <w:r/>
    </w:p>
    <w:p>
      <w:pPr>
        <w:pStyle w:val="819"/>
        <w:numPr>
          <w:ilvl w:val="0"/>
          <w:numId w:val="25"/>
        </w:numPr>
        <w:pBdr/>
        <w:spacing/>
        <w:ind/>
        <w:rPr/>
      </w:pPr>
      <w:r>
        <w:t xml:space="preserve">Press F11 to confirm the installation.</w:t>
      </w:r>
      <w:r/>
    </w:p>
    <w:p>
      <w:pPr>
        <w:pStyle w:val="819"/>
        <w:numPr>
          <w:ilvl w:val="0"/>
          <w:numId w:val="25"/>
        </w:numPr>
        <w:pBdr/>
        <w:spacing/>
        <w:ind/>
        <w:rPr/>
      </w:pPr>
      <w:r>
        <w:t xml:space="preserve">Once the installer completes, remove the installation media and press Enter to reboot.</w:t>
      </w:r>
      <w:r/>
    </w:p>
    <w:p>
      <w:pPr>
        <w:pStyle w:val="829"/>
        <w:pBdr/>
        <w:spacing/>
        <w:ind/>
        <w:rPr/>
      </w:pPr>
      <w:r>
        <w:t xml:space="preserve">Network Configuration</w:t>
      </w:r>
      <w:r/>
    </w:p>
    <w:p>
      <w:pPr>
        <w:pBdr/>
        <w:spacing w:after="120"/>
        <w:ind/>
        <w:rPr/>
      </w:pPr>
      <w:r>
        <w:t xml:space="preserve">After installation, the server displays a temporary DHCP-assigned IP address (in this lab, https://10.0.96.155/). To assign a static IP:</w:t>
      </w:r>
      <w:r/>
    </w:p>
    <w:p>
      <w:pPr>
        <w:pStyle w:val="819"/>
        <w:numPr>
          <w:ilvl w:val="0"/>
          <w:numId w:val="26"/>
        </w:numPr>
        <w:pBdr/>
        <w:spacing/>
        <w:ind/>
        <w:rPr/>
      </w:pPr>
      <w:r>
        <w:t xml:space="preserve">Press F2 on the host console.</w:t>
      </w:r>
      <w:r/>
    </w:p>
    <w:p>
      <w:pPr>
        <w:pStyle w:val="819"/>
        <w:numPr>
          <w:ilvl w:val="0"/>
          <w:numId w:val="26"/>
        </w:numPr>
        <w:pBdr/>
        <w:spacing/>
        <w:ind/>
        <w:rPr/>
      </w:pPr>
      <w:r>
        <w:t xml:space="preserve">Choose Configure Management Network.</w:t>
      </w:r>
      <w:r/>
    </w:p>
    <w:p>
      <w:pPr>
        <w:pStyle w:val="819"/>
        <w:numPr>
          <w:ilvl w:val="0"/>
          <w:numId w:val="26"/>
        </w:numPr>
        <w:pBdr/>
        <w:spacing/>
        <w:ind/>
        <w:rPr/>
      </w:pPr>
      <w:r>
        <w:t xml:space="preserve">Select IPv4 Configuration.</w:t>
      </w:r>
      <w:r/>
    </w:p>
    <w:p>
      <w:pPr>
        <w:pStyle w:val="819"/>
        <w:numPr>
          <w:ilvl w:val="0"/>
          <w:numId w:val="26"/>
        </w:numPr>
        <w:pBdr/>
        <w:spacing/>
        <w:ind/>
        <w:rPr/>
      </w:pPr>
      <w:r>
        <w:t xml:space="preserve">Choose "Set static IPv4 address" and enter the desired address, subnet mask, and gateway.</w:t>
      </w:r>
      <w:r/>
    </w:p>
    <w:p>
      <w:pPr>
        <w:pStyle w:val="819"/>
        <w:numPr>
          <w:ilvl w:val="0"/>
          <w:numId w:val="26"/>
        </w:numPr>
        <w:pBdr/>
        <w:spacing/>
        <w:ind/>
        <w:rPr/>
      </w:pPr>
      <w:r>
        <w:t xml:space="preserve">Press Enter to apply the change, then restart the management agents.</w:t>
      </w:r>
      <w:r/>
    </w:p>
    <w:p>
      <w:pPr>
        <w:pBdr/>
        <w:spacing w:after="120"/>
        <w:ind/>
        <w:rPr/>
      </w:pPr>
      <w:r>
        <w:t xml:space="preserve">The host is now reachable at its static IP address from the management network.</w:t>
      </w:r>
      <w:r/>
    </w:p>
    <w:p>
      <w:pPr>
        <w:pBdr/>
        <w:spacing/>
        <w:ind/>
        <w:rPr/>
      </w:pPr>
      <w:r/>
      <w:r/>
    </w:p>
    <w:p>
      <w:pPr>
        <w:pStyle w:val="828"/>
        <w:pBdr/>
        <w:spacing/>
        <w:ind/>
        <w:rPr/>
      </w:pPr>
      <w:r>
        <w:t xml:space="preserve">2.2  Working Without vCenter — ESXi Host Client</w:t>
      </w:r>
      <w:r/>
    </w:p>
    <w:p>
      <w:pPr>
        <w:pBdr/>
        <w:spacing w:after="120"/>
        <w:ind/>
        <w:rPr/>
      </w:pPr>
      <w:r>
        <w:t xml:space="preserve">Before vCenter is deployed, all VM management is done via the per-host ESXi web interface.</w:t>
      </w:r>
      <w:r/>
    </w:p>
    <w:p>
      <w:pPr>
        <w:pStyle w:val="829"/>
        <w:pBdr/>
        <w:spacing/>
        <w:ind/>
        <w:rPr/>
      </w:pPr>
      <w:r>
        <w:t xml:space="preserve">Creating a VM via the GUI</w:t>
      </w:r>
      <w:r/>
    </w:p>
    <w:p>
      <w:pPr>
        <w:pStyle w:val="819"/>
        <w:numPr>
          <w:ilvl w:val="0"/>
          <w:numId w:val="27"/>
        </w:numPr>
        <w:pBdr/>
        <w:spacing/>
        <w:ind/>
        <w:rPr/>
      </w:pPr>
      <w:r>
        <w:t xml:space="preserve">Connect to the ESXi web interface and log in as root.</w:t>
      </w:r>
      <w:r/>
    </w:p>
    <w:p>
      <w:pPr>
        <w:pStyle w:val="819"/>
        <w:numPr>
          <w:ilvl w:val="0"/>
          <w:numId w:val="27"/>
        </w:numPr>
        <w:pBdr/>
        <w:spacing/>
        <w:ind/>
        <w:rPr/>
      </w:pPr>
      <w:r>
        <w:t xml:space="preserve">Navigate to </w:t>
      </w:r>
      <w:r>
        <w:rPr>
          <w:b/>
          <w:bCs/>
        </w:rPr>
        <w:t xml:space="preserve">Virtual Machines → Create / Register VM</w:t>
      </w:r>
      <w:r>
        <w:t xml:space="preserve">.</w:t>
      </w:r>
      <w:r/>
    </w:p>
    <w:p>
      <w:pPr>
        <w:pStyle w:val="819"/>
        <w:numPr>
          <w:ilvl w:val="0"/>
          <w:numId w:val="27"/>
        </w:numPr>
        <w:pBdr/>
        <w:spacing/>
        <w:ind/>
        <w:rPr/>
      </w:pPr>
      <w:r>
        <w:t xml:space="preserve">Select "Create a new virtual machine", choose a name, an OS family, and an OS version.</w:t>
      </w:r>
      <w:r/>
    </w:p>
    <w:p>
      <w:pPr>
        <w:pStyle w:val="819"/>
        <w:numPr>
          <w:ilvl w:val="0"/>
          <w:numId w:val="27"/>
        </w:numPr>
        <w:pBdr/>
        <w:spacing/>
        <w:ind/>
        <w:rPr/>
      </w:pPr>
      <w:r>
        <w:t xml:space="preserve">Select the storage device for the VM files.</w:t>
      </w:r>
      <w:r/>
    </w:p>
    <w:p>
      <w:pPr>
        <w:pStyle w:val="819"/>
        <w:numPr>
          <w:ilvl w:val="0"/>
          <w:numId w:val="27"/>
        </w:numPr>
        <w:pBdr/>
        <w:spacing/>
        <w:ind/>
        <w:rPr/>
      </w:pPr>
      <w:r>
        <w:t xml:space="preserve">Configure the hardware (CPU, RAM, disk, network).</w:t>
      </w:r>
      <w:r/>
    </w:p>
    <w:p>
      <w:pPr>
        <w:pBdr/>
        <w:spacing w:after="120" w:before="120"/>
        <w:ind/>
        <w:jc w:val="center"/>
        <w:rPr/>
      </w:pPr>
      <w:r>
        <mc:AlternateContent>
          <mc:Choice Requires="wpg">
            <w:drawing>
              <wp:inline xmlns:wp="http://schemas.openxmlformats.org/drawingml/2006/wordprocessingDrawing" distT="0" distB="0" distL="0" distR="0">
                <wp:extent cx="5143500" cy="3267075"/>
                <wp:effectExtent l="0" t="0" r="0" b="0"/>
                <wp:docPr id="1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pic:cNvPicPr>
                        <pic:nvPr/>
                      </pic:nvPicPr>
                      <pic:blipFill rotWithShape="1">
                        <a:blip r:embed="rId25"/>
                        <a:stretch/>
                      </pic:blipFill>
                      <pic:spPr bwMode="auto">
                        <a:xfrm>
                          <a:off x="0" y="0"/>
                          <a:ext cx="5143500" cy="326707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 o:spid="_x0000_s14" type="#_x0000_t75" style="width:405.00pt;height:257.25pt;mso-wrap-distance-left:0.00pt;mso-wrap-distance-top:0.00pt;mso-wrap-distance-right:0.00pt;mso-wrap-distance-bottom:0.00pt;z-index:1;" stroked="false">
                <v:imagedata r:id="rId25" o:title=""/>
                <o:lock v:ext="edit" rotation="t"/>
              </v:shape>
            </w:pict>
          </mc:Fallback>
        </mc:AlternateContent>
      </w:r>
      <w:r/>
    </w:p>
    <w:p>
      <w:pPr>
        <w:pStyle w:val="819"/>
        <w:numPr>
          <w:ilvl w:val="0"/>
          <w:numId w:val="27"/>
        </w:numPr>
        <w:pBdr/>
        <w:spacing/>
        <w:ind/>
        <w:rPr/>
      </w:pPr>
      <w:r>
        <w:t xml:space="preserve">On the Review tab, click Finish.</w:t>
      </w:r>
      <w:r/>
    </w:p>
    <w:p>
      <w:pPr>
        <w:pBdr/>
        <w:spacing w:after="120"/>
        <w:ind/>
        <w:rPr/>
      </w:pPr>
      <w:r>
        <w:t xml:space="preserve">The newly created VM appears in the Virtual Machines list and can be managed by clicking on it.</w:t>
      </w:r>
      <w:r/>
    </w:p>
    <w:p>
      <w:pPr>
        <w:pStyle w:val="829"/>
        <w:pBdr/>
        <w:spacing/>
        <w:ind/>
        <w:rPr/>
      </w:pPr>
      <w:r>
        <w:t xml:space="preserve">Creating a VM via the CLI</w:t>
      </w:r>
      <w:r/>
    </w:p>
    <w:p>
      <w:pPr>
        <w:pBdr/>
        <w:spacing w:after="120"/>
        <w:ind/>
        <w:rPr/>
      </w:pPr>
      <w:r>
        <w:t xml:space="preserve">VMware ESXi exposes an extensive command-line interface accessible via SSH. To prepare for CLI VM creation, SSH must be enabled on the host:</w:t>
      </w:r>
      <w:r/>
    </w:p>
    <w:p>
      <w:pPr>
        <w:pStyle w:val="819"/>
        <w:numPr>
          <w:ilvl w:val="0"/>
          <w:numId w:val="28"/>
        </w:numPr>
        <w:pBdr/>
        <w:spacing/>
        <w:ind/>
        <w:rPr/>
      </w:pPr>
      <w:r>
        <w:t xml:space="preserve">In the ESXi host web client, navigate to </w:t>
      </w:r>
      <w:r>
        <w:rPr>
          <w:b/>
          <w:bCs/>
        </w:rPr>
        <w:t xml:space="preserve">Host → Manage → Services → TSM-SSH</w:t>
      </w:r>
      <w:r>
        <w:t xml:space="preserve"> and click </w:t>
      </w:r>
      <w:r>
        <w:rPr>
          <w:b/>
          <w:bCs/>
        </w:rPr>
        <w:t xml:space="preserve">Start</w:t>
      </w:r>
      <w:r>
        <w:t xml:space="preserve">.</w:t>
      </w:r>
      <w:r/>
    </w:p>
    <w:p>
      <w:pPr>
        <w:pBdr/>
        <w:spacing w:after="120"/>
        <w:ind/>
        <w:rPr/>
      </w:pPr>
      <w:r>
        <w:t xml:space="preserve">Then connect via SSH (e.g. using MobaXterm) and execute the following commands:</w:t>
      </w:r>
      <w:r/>
    </w:p>
    <w:p>
      <w:pPr>
        <w:pStyle w:val="830"/>
        <w:pBdr/>
        <w:spacing/>
        <w:ind/>
        <w:rPr/>
      </w:pPr>
      <w:r>
        <w:t xml:space="preserve">Create the VM directory</w:t>
      </w:r>
      <w:r/>
    </w:p>
    <w:p>
      <w:pPr>
        <w:pBdr>
          <w:top w:val="single" w:color="cccccc" w:sz="4" w:space="0"/>
          <w:left w:val="single" w:color="cccccc" w:sz="4" w:space="0"/>
          <w:bottom w:val="single" w:color="cccccc" w:sz="4" w:space="0"/>
          <w:right w:val="single" w:color="cccccc" w:sz="4" w:space="0"/>
        </w:pBdr>
        <w:shd w:val="clear" w:color="auto" w:fill="f2f2f2"/>
        <w:spacing w:after="100" w:before="100"/>
        <w:ind/>
        <w:rPr/>
      </w:pPr>
      <w:r>
        <w:rPr>
          <w:rFonts w:ascii="Consolas" w:hAnsi="Consolas" w:eastAsia="Consolas" w:cs="Consolas"/>
          <w:sz w:val="20"/>
          <w:szCs w:val="20"/>
        </w:rPr>
        <w:t xml:space="preserve">mkdir /vmfs/volumes/datastore1/MeineVM</w:t>
      </w:r>
      <w:r/>
    </w:p>
    <w:p>
      <w:pPr>
        <w:pStyle w:val="830"/>
        <w:pBdr/>
        <w:spacing/>
        <w:ind/>
        <w:rPr/>
      </w:pPr>
      <w:r>
        <w:t xml:space="preserve">Create the virtual disk (20 GB, thin-provisioned)</w:t>
      </w:r>
      <w:r/>
    </w:p>
    <w:p>
      <w:pPr>
        <w:pBdr>
          <w:top w:val="single" w:color="cccccc" w:sz="4" w:space="0"/>
          <w:left w:val="single" w:color="cccccc" w:sz="4" w:space="0"/>
          <w:bottom w:val="single" w:color="cccccc" w:sz="4" w:space="0"/>
          <w:right w:val="single" w:color="cccccc" w:sz="4" w:space="0"/>
        </w:pBdr>
        <w:shd w:val="clear" w:color="auto" w:fill="f2f2f2"/>
        <w:spacing w:after="100" w:before="100"/>
        <w:ind/>
        <w:rPr/>
      </w:pPr>
      <w:r>
        <w:rPr>
          <w:rFonts w:ascii="Consolas" w:hAnsi="Consolas" w:eastAsia="Consolas" w:cs="Consolas"/>
          <w:sz w:val="20"/>
          <w:szCs w:val="20"/>
        </w:rPr>
        <w:t xml:space="preserve">vmkfstools -c 20G -d thin /vmfs/volumes/datastore1/MeineVM/MeineVM.vmdk</w:t>
      </w:r>
      <w:r/>
    </w:p>
    <w:p>
      <w:pPr>
        <w:pStyle w:val="830"/>
        <w:pBdr/>
        <w:spacing/>
        <w:ind/>
        <w:rPr/>
      </w:pPr>
      <w:r>
        <w:t xml:space="preserve">Create a minimal VMX configuration file</w:t>
      </w:r>
      <w:r/>
    </w:p>
    <w:p>
      <w:pPr>
        <w:pBdr>
          <w:top w:val="single" w:color="cccccc" w:sz="4" w:space="0"/>
          <w:left w:val="single" w:color="cccccc" w:sz="4" w:space="0"/>
          <w:bottom w:val="none" w:color="000000" w:sz="0" w:space="0"/>
          <w:right w:val="single" w:color="cccccc" w:sz="4" w:space="0"/>
        </w:pBdr>
        <w:shd w:val="clear" w:color="auto" w:fill="f2f2f2"/>
        <w:spacing w:after="0" w:before="100"/>
        <w:ind/>
        <w:rPr/>
      </w:pPr>
      <w:r>
        <w:rPr>
          <w:rFonts w:ascii="Consolas" w:hAnsi="Consolas" w:eastAsia="Consolas" w:cs="Consolas"/>
          <w:sz w:val="20"/>
          <w:szCs w:val="20"/>
        </w:rPr>
        <w:t xml:space="preserve">cat &gt;&gt; /vmfs/volumes/datastore1/MeineVM/MeineVM.vmx &lt;&lt;EOF</w:t>
      </w:r>
      <w:r/>
    </w:p>
    <w:p>
      <w:pPr>
        <w:pBdr>
          <w:top w:val="none" w:color="000000" w:sz="0" w:space="0"/>
          <w:left w:val="single" w:color="cccccc" w:sz="4" w:space="0"/>
          <w:bottom w:val="none" w:color="000000" w:sz="0" w:space="0"/>
          <w:right w:val="single" w:color="cccccc" w:sz="4" w:space="0"/>
        </w:pBdr>
        <w:shd w:val="clear" w:color="auto" w:fill="f2f2f2"/>
        <w:spacing w:after="0" w:before="0"/>
        <w:ind/>
        <w:rPr/>
      </w:pPr>
      <w:r>
        <w:rPr>
          <w:rFonts w:ascii="Consolas" w:hAnsi="Consolas" w:eastAsia="Consolas" w:cs="Consolas"/>
          <w:sz w:val="20"/>
          <w:szCs w:val="20"/>
        </w:rPr>
        <w:t xml:space="preserve">pciBridge0.present = "TRUE"</w:t>
      </w:r>
      <w:r/>
    </w:p>
    <w:p>
      <w:pPr>
        <w:pBdr>
          <w:top w:val="none" w:color="000000" w:sz="0" w:space="0"/>
          <w:left w:val="single" w:color="cccccc" w:sz="4" w:space="0"/>
          <w:bottom w:val="none" w:color="000000" w:sz="0" w:space="0"/>
          <w:right w:val="single" w:color="cccccc" w:sz="4" w:space="0"/>
        </w:pBdr>
        <w:shd w:val="clear" w:color="auto" w:fill="f2f2f2"/>
        <w:spacing w:after="0" w:before="0"/>
        <w:ind/>
        <w:rPr/>
      </w:pPr>
      <w:r>
        <w:rPr>
          <w:rFonts w:ascii="Consolas" w:hAnsi="Consolas" w:eastAsia="Consolas" w:cs="Consolas"/>
          <w:sz w:val="20"/>
          <w:szCs w:val="20"/>
        </w:rPr>
        <w:t xml:space="preserve">pciBridge4.present = "TRUE"</w:t>
      </w:r>
      <w:r/>
    </w:p>
    <w:p>
      <w:pPr>
        <w:pBdr>
          <w:top w:val="none" w:color="000000" w:sz="0" w:space="0"/>
          <w:left w:val="single" w:color="cccccc" w:sz="4" w:space="0"/>
          <w:bottom w:val="none" w:color="000000" w:sz="0" w:space="0"/>
          <w:right w:val="single" w:color="cccccc" w:sz="4" w:space="0"/>
        </w:pBdr>
        <w:shd w:val="clear" w:color="auto" w:fill="f2f2f2"/>
        <w:spacing w:after="0" w:before="0"/>
        <w:ind/>
        <w:rPr/>
      </w:pPr>
      <w:r>
        <w:rPr>
          <w:rFonts w:ascii="Consolas" w:hAnsi="Consolas" w:eastAsia="Consolas" w:cs="Consolas"/>
          <w:sz w:val="20"/>
          <w:szCs w:val="20"/>
        </w:rPr>
        <w:t xml:space="preserve">pciBridge4.virtualDev = "pcieRootPort"</w:t>
      </w:r>
      <w:r/>
    </w:p>
    <w:p>
      <w:pPr>
        <w:pBdr>
          <w:top w:val="none" w:color="000000" w:sz="0" w:space="0"/>
          <w:left w:val="single" w:color="cccccc" w:sz="4" w:space="0"/>
          <w:bottom w:val="none" w:color="000000" w:sz="0" w:space="0"/>
          <w:right w:val="single" w:color="cccccc" w:sz="4" w:space="0"/>
        </w:pBdr>
        <w:shd w:val="clear" w:color="auto" w:fill="f2f2f2"/>
        <w:spacing w:after="0" w:before="0"/>
        <w:ind/>
        <w:rPr/>
      </w:pPr>
      <w:r>
        <w:rPr>
          <w:rFonts w:ascii="Consolas" w:hAnsi="Consolas" w:eastAsia="Consolas" w:cs="Consolas"/>
          <w:sz w:val="20"/>
          <w:szCs w:val="20"/>
        </w:rPr>
        <w:t xml:space="preserve">pciBridge4.functions = "8"</w:t>
      </w:r>
      <w:r/>
    </w:p>
    <w:p>
      <w:pPr>
        <w:pBdr>
          <w:top w:val="none" w:color="000000" w:sz="0" w:space="0"/>
          <w:left w:val="single" w:color="cccccc" w:sz="4" w:space="0"/>
          <w:bottom w:val="none" w:color="000000" w:sz="0" w:space="0"/>
          <w:right w:val="single" w:color="cccccc" w:sz="4" w:space="0"/>
        </w:pBdr>
        <w:shd w:val="clear" w:color="auto" w:fill="f2f2f2"/>
        <w:spacing w:after="0" w:before="0"/>
        <w:ind/>
        <w:rPr/>
      </w:pPr>
      <w:r>
        <w:rPr>
          <w:rFonts w:ascii="Consolas" w:hAnsi="Consolas" w:eastAsia="Consolas" w:cs="Consolas"/>
          <w:sz w:val="20"/>
          <w:szCs w:val="20"/>
        </w:rPr>
        <w:t xml:space="preserve">pciBridge5.present = "TRUE"</w:t>
      </w:r>
      <w:r/>
    </w:p>
    <w:p>
      <w:pPr>
        <w:pBdr>
          <w:top w:val="none" w:color="000000" w:sz="0" w:space="0"/>
          <w:left w:val="single" w:color="cccccc" w:sz="4" w:space="0"/>
          <w:bottom w:val="none" w:color="000000" w:sz="0" w:space="0"/>
          <w:right w:val="single" w:color="cccccc" w:sz="4" w:space="0"/>
        </w:pBdr>
        <w:shd w:val="clear" w:color="auto" w:fill="f2f2f2"/>
        <w:spacing w:after="0" w:before="0"/>
        <w:ind/>
        <w:rPr/>
      </w:pPr>
      <w:r>
        <w:rPr>
          <w:rFonts w:ascii="Consolas" w:hAnsi="Consolas" w:eastAsia="Consolas" w:cs="Consolas"/>
          <w:sz w:val="20"/>
          <w:szCs w:val="20"/>
        </w:rPr>
        <w:t xml:space="preserve">pciBridge5.virtualDev = "pcieRootPort"</w:t>
      </w:r>
      <w:r/>
    </w:p>
    <w:p>
      <w:pPr>
        <w:pBdr>
          <w:top w:val="none" w:color="000000" w:sz="0" w:space="0"/>
          <w:left w:val="single" w:color="cccccc" w:sz="4" w:space="0"/>
          <w:bottom w:val="none" w:color="000000" w:sz="0" w:space="0"/>
          <w:right w:val="single" w:color="cccccc" w:sz="4" w:space="0"/>
        </w:pBdr>
        <w:shd w:val="clear" w:color="auto" w:fill="f2f2f2"/>
        <w:spacing w:after="0" w:before="0"/>
        <w:ind/>
        <w:rPr/>
      </w:pPr>
      <w:r>
        <w:rPr>
          <w:rFonts w:ascii="Consolas" w:hAnsi="Consolas" w:eastAsia="Consolas" w:cs="Consolas"/>
          <w:sz w:val="20"/>
          <w:szCs w:val="20"/>
        </w:rPr>
        <w:t xml:space="preserve">pciBridge5.functions = "8"</w:t>
      </w:r>
      <w:r/>
    </w:p>
    <w:p>
      <w:pPr>
        <w:pBdr>
          <w:top w:val="none" w:color="000000" w:sz="0" w:space="0"/>
          <w:left w:val="single" w:color="cccccc" w:sz="4" w:space="0"/>
          <w:bottom w:val="none" w:color="000000" w:sz="0" w:space="0"/>
          <w:right w:val="single" w:color="cccccc" w:sz="4" w:space="0"/>
        </w:pBdr>
        <w:shd w:val="clear" w:color="auto" w:fill="f2f2f2"/>
        <w:spacing w:after="0" w:before="0"/>
        <w:ind/>
        <w:rPr/>
      </w:pPr>
      <w:r>
        <w:rPr>
          <w:rFonts w:ascii="Consolas" w:hAnsi="Consolas" w:eastAsia="Consolas" w:cs="Consolas"/>
          <w:sz w:val="20"/>
          <w:szCs w:val="20"/>
        </w:rPr>
        <w:t xml:space="preserve">pciBridge6.present = "TRUE"</w:t>
      </w:r>
      <w:r/>
    </w:p>
    <w:p>
      <w:pPr>
        <w:pBdr>
          <w:top w:val="none" w:color="000000" w:sz="0" w:space="0"/>
          <w:left w:val="single" w:color="cccccc" w:sz="4" w:space="0"/>
          <w:bottom w:val="none" w:color="000000" w:sz="0" w:space="0"/>
          <w:right w:val="single" w:color="cccccc" w:sz="4" w:space="0"/>
        </w:pBdr>
        <w:shd w:val="clear" w:color="auto" w:fill="f2f2f2"/>
        <w:spacing w:after="0" w:before="0"/>
        <w:ind/>
        <w:rPr/>
      </w:pPr>
      <w:r>
        <w:rPr>
          <w:rFonts w:ascii="Consolas" w:hAnsi="Consolas" w:eastAsia="Consolas" w:cs="Consolas"/>
          <w:sz w:val="20"/>
          <w:szCs w:val="20"/>
        </w:rPr>
        <w:t xml:space="preserve">pciBridge6.virtualDev = "pcieRootPort"</w:t>
      </w:r>
      <w:r/>
    </w:p>
    <w:p>
      <w:pPr>
        <w:pBdr>
          <w:top w:val="none" w:color="000000" w:sz="0" w:space="0"/>
          <w:left w:val="single" w:color="cccccc" w:sz="4" w:space="0"/>
          <w:bottom w:val="none" w:color="000000" w:sz="0" w:space="0"/>
          <w:right w:val="single" w:color="cccccc" w:sz="4" w:space="0"/>
        </w:pBdr>
        <w:shd w:val="clear" w:color="auto" w:fill="f2f2f2"/>
        <w:spacing w:after="0" w:before="0"/>
        <w:ind/>
        <w:rPr/>
      </w:pPr>
      <w:r>
        <w:rPr>
          <w:rFonts w:ascii="Consolas" w:hAnsi="Consolas" w:eastAsia="Consolas" w:cs="Consolas"/>
          <w:sz w:val="20"/>
          <w:szCs w:val="20"/>
        </w:rPr>
        <w:t xml:space="preserve">pciBridge6.functions = "8"</w:t>
      </w:r>
      <w:r/>
    </w:p>
    <w:p>
      <w:pPr>
        <w:pBdr>
          <w:top w:val="none" w:color="000000" w:sz="0" w:space="0"/>
          <w:left w:val="single" w:color="cccccc" w:sz="4" w:space="0"/>
          <w:bottom w:val="none" w:color="000000" w:sz="0" w:space="0"/>
          <w:right w:val="single" w:color="cccccc" w:sz="4" w:space="0"/>
        </w:pBdr>
        <w:shd w:val="clear" w:color="auto" w:fill="f2f2f2"/>
        <w:spacing w:after="0" w:before="0"/>
        <w:ind/>
        <w:rPr/>
      </w:pPr>
      <w:r>
        <w:rPr>
          <w:rFonts w:ascii="Consolas" w:hAnsi="Consolas" w:eastAsia="Consolas" w:cs="Consolas"/>
          <w:sz w:val="20"/>
          <w:szCs w:val="20"/>
        </w:rPr>
        <w:t xml:space="preserve">pciBridge7.present = "TRUE"</w:t>
      </w:r>
      <w:r/>
    </w:p>
    <w:p>
      <w:pPr>
        <w:pBdr>
          <w:top w:val="none" w:color="000000" w:sz="0" w:space="0"/>
          <w:left w:val="single" w:color="cccccc" w:sz="4" w:space="0"/>
          <w:bottom w:val="none" w:color="000000" w:sz="0" w:space="0"/>
          <w:right w:val="single" w:color="cccccc" w:sz="4" w:space="0"/>
        </w:pBdr>
        <w:shd w:val="clear" w:color="auto" w:fill="f2f2f2"/>
        <w:spacing w:after="0" w:before="0"/>
        <w:ind/>
        <w:rPr/>
      </w:pPr>
      <w:r>
        <w:rPr>
          <w:rFonts w:ascii="Consolas" w:hAnsi="Consolas" w:eastAsia="Consolas" w:cs="Consolas"/>
          <w:sz w:val="20"/>
          <w:szCs w:val="20"/>
        </w:rPr>
        <w:t xml:space="preserve">pciBridge7.virtualDev = "pcieRootPort"</w:t>
      </w:r>
      <w:r/>
    </w:p>
    <w:p>
      <w:pPr>
        <w:pBdr>
          <w:top w:val="none" w:color="000000" w:sz="0" w:space="0"/>
          <w:left w:val="single" w:color="cccccc" w:sz="4" w:space="0"/>
          <w:bottom w:val="none" w:color="000000" w:sz="0" w:space="0"/>
          <w:right w:val="single" w:color="cccccc" w:sz="4" w:space="0"/>
        </w:pBdr>
        <w:shd w:val="clear" w:color="auto" w:fill="f2f2f2"/>
        <w:spacing w:after="0" w:before="0"/>
        <w:ind/>
        <w:rPr/>
      </w:pPr>
      <w:r>
        <w:rPr>
          <w:rFonts w:ascii="Consolas" w:hAnsi="Consolas" w:eastAsia="Consolas" w:cs="Consolas"/>
          <w:sz w:val="20"/>
          <w:szCs w:val="20"/>
        </w:rPr>
        <w:t xml:space="preserve">pciBridge7.functions = "8"</w:t>
      </w:r>
      <w:r/>
    </w:p>
    <w:p>
      <w:pPr>
        <w:pBdr>
          <w:top w:val="none" w:color="000000" w:sz="0" w:space="0"/>
          <w:left w:val="single" w:color="cccccc" w:sz="4" w:space="0"/>
          <w:bottom w:val="single" w:color="cccccc" w:sz="4" w:space="0"/>
          <w:right w:val="single" w:color="cccccc" w:sz="4" w:space="0"/>
        </w:pBdr>
        <w:shd w:val="clear" w:color="auto" w:fill="f2f2f2"/>
        <w:spacing w:after="100" w:before="0"/>
        <w:ind/>
        <w:rPr/>
      </w:pPr>
      <w:r>
        <w:rPr>
          <w:rFonts w:ascii="Consolas" w:hAnsi="Consolas" w:eastAsia="Consolas" w:cs="Consolas"/>
          <w:sz w:val="20"/>
          <w:szCs w:val="20"/>
        </w:rPr>
        <w:t xml:space="preserve">EOF</w:t>
      </w:r>
      <w:r/>
    </w:p>
    <w:p>
      <w:pPr>
        <w:pStyle w:val="830"/>
        <w:pBdr/>
        <w:spacing/>
        <w:ind/>
        <w:rPr/>
      </w:pPr>
      <w:r>
        <w:t xml:space="preserve">Register and start the VM</w:t>
      </w:r>
      <w:r/>
    </w:p>
    <w:p>
      <w:pPr>
        <w:pBdr>
          <w:top w:val="single" w:color="cccccc" w:sz="4" w:space="0"/>
          <w:left w:val="single" w:color="cccccc" w:sz="4" w:space="0"/>
          <w:bottom w:val="none" w:color="000000" w:sz="0" w:space="0"/>
          <w:right w:val="single" w:color="cccccc" w:sz="4" w:space="0"/>
        </w:pBdr>
        <w:shd w:val="clear" w:color="auto" w:fill="f2f2f2"/>
        <w:spacing w:after="0" w:before="100"/>
        <w:ind/>
        <w:rPr/>
      </w:pPr>
      <w:r>
        <w:rPr>
          <w:rFonts w:ascii="Consolas" w:hAnsi="Consolas" w:eastAsia="Consolas" w:cs="Consolas"/>
          <w:sz w:val="20"/>
          <w:szCs w:val="20"/>
        </w:rPr>
        <w:t xml:space="preserve">vim-cmd solo/registervm /vmfs/volumes/datastore1/MeineVM/MeineVM.vmx</w:t>
      </w:r>
      <w:r/>
    </w:p>
    <w:p>
      <w:pPr>
        <w:pBdr>
          <w:top w:val="none" w:color="000000" w:sz="0" w:space="0"/>
          <w:left w:val="single" w:color="cccccc" w:sz="4" w:space="0"/>
          <w:bottom w:val="single" w:color="cccccc" w:sz="4" w:space="0"/>
          <w:right w:val="single" w:color="cccccc" w:sz="4" w:space="0"/>
        </w:pBdr>
        <w:shd w:val="clear" w:color="auto" w:fill="f2f2f2"/>
        <w:spacing w:after="100" w:before="0"/>
        <w:ind/>
        <w:rPr/>
      </w:pPr>
      <w:r>
        <w:rPr>
          <w:rFonts w:ascii="Consolas" w:hAnsi="Consolas" w:eastAsia="Consolas" w:cs="Consolas"/>
          <w:sz w:val="20"/>
          <w:szCs w:val="20"/>
        </w:rPr>
        <w:t xml:space="preserve">vim-cmd vmsvc/power.on &lt;vmid&gt;</w:t>
      </w:r>
      <w:r/>
    </w:p>
    <w:p>
      <w:pPr>
        <w:pStyle w:val="829"/>
        <w:pBdr/>
        <w:spacing/>
        <w:ind/>
        <w:rPr/>
      </w:pPr>
      <w:r>
        <w:t xml:space="preserve">Adding an ISO Image to a Datastore</w:t>
      </w:r>
      <w:r/>
    </w:p>
    <w:p>
      <w:pPr>
        <w:pStyle w:val="819"/>
        <w:numPr>
          <w:ilvl w:val="0"/>
          <w:numId w:val="29"/>
        </w:numPr>
        <w:pBdr/>
        <w:spacing/>
        <w:ind/>
        <w:rPr/>
      </w:pPr>
      <w:r>
        <w:t xml:space="preserve">Navigate to </w:t>
      </w:r>
      <w:r>
        <w:rPr>
          <w:b/>
          <w:bCs/>
        </w:rPr>
        <w:t xml:space="preserve">Storage</w:t>
      </w:r>
      <w:r>
        <w:t xml:space="preserve">, right-click the datastore and select </w:t>
      </w:r>
      <w:r>
        <w:rPr>
          <w:b/>
          <w:bCs/>
        </w:rPr>
        <w:t xml:space="preserve">Browse</w:t>
      </w:r>
      <w:r>
        <w:t xml:space="preserve">.</w:t>
      </w:r>
      <w:r/>
    </w:p>
    <w:p>
      <w:pPr>
        <w:pStyle w:val="819"/>
        <w:numPr>
          <w:ilvl w:val="0"/>
          <w:numId w:val="29"/>
        </w:numPr>
        <w:pBdr/>
        <w:spacing/>
        <w:ind/>
        <w:rPr/>
      </w:pPr>
      <w:r>
        <w:t xml:space="preserve">Click </w:t>
      </w:r>
      <w:r>
        <w:rPr>
          <w:b/>
          <w:bCs/>
        </w:rPr>
        <w:t xml:space="preserve">Upload</w:t>
      </w:r>
      <w:r>
        <w:t xml:space="preserve"> and select the ISO file.</w:t>
      </w:r>
      <w:r/>
    </w:p>
    <w:p>
      <w:pPr>
        <w:pStyle w:val="829"/>
        <w:pBdr/>
        <w:spacing/>
        <w:ind/>
        <w:rPr/>
      </w:pPr>
      <w:r>
        <w:t xml:space="preserve">Windows / Linux Installation</w:t>
      </w:r>
      <w:r/>
    </w:p>
    <w:p>
      <w:pPr>
        <w:pBdr/>
        <w:spacing w:after="120"/>
        <w:ind/>
        <w:rPr/>
      </w:pPr>
      <w:r>
        <w:t xml:space="preserve">After the VM is created and the ISO is attached, opening the console and starting the VM presents the installer of the chosen operating system, which is then completed in the normal way.</w:t>
      </w:r>
      <w:r/>
    </w:p>
    <w:p>
      <w:pPr>
        <w:pBdr/>
        <w:spacing w:after="120" w:before="120"/>
        <w:ind/>
        <w:jc w:val="center"/>
        <w:rPr/>
      </w:pPr>
      <w:r>
        <mc:AlternateContent>
          <mc:Choice Requires="wpg">
            <w:drawing>
              <wp:inline xmlns:wp="http://schemas.openxmlformats.org/drawingml/2006/wordprocessingDrawing" distT="0" distB="0" distL="0" distR="0">
                <wp:extent cx="5143500" cy="2305050"/>
                <wp:effectExtent l="0" t="0" r="0" b="0"/>
                <wp:docPr id="1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pic:cNvPicPr>
                        <pic:nvPr/>
                      </pic:nvPicPr>
                      <pic:blipFill rotWithShape="1">
                        <a:blip r:embed="rId26"/>
                        <a:stretch/>
                      </pic:blipFill>
                      <pic:spPr bwMode="auto">
                        <a:xfrm>
                          <a:off x="0" y="0"/>
                          <a:ext cx="5143500" cy="230505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 o:spid="_x0000_s15" type="#_x0000_t75" style="width:405.00pt;height:181.50pt;mso-wrap-distance-left:0.00pt;mso-wrap-distance-top:0.00pt;mso-wrap-distance-right:0.00pt;mso-wrap-distance-bottom:0.00pt;z-index:1;" stroked="false">
                <v:imagedata r:id="rId26" o:title=""/>
                <o:lock v:ext="edit" rotation="t"/>
              </v:shape>
            </w:pict>
          </mc:Fallback>
        </mc:AlternateContent>
      </w:r>
      <w:r/>
    </w:p>
    <w:p>
      <w:pPr>
        <w:pStyle w:val="829"/>
        <w:pBdr/>
        <w:spacing/>
        <w:ind/>
        <w:rPr/>
      </w:pPr>
      <w:r>
        <w:t xml:space="preserve">Changing the VM Hardware</w:t>
      </w:r>
      <w:r/>
    </w:p>
    <w:p>
      <w:pPr>
        <w:pStyle w:val="819"/>
        <w:numPr>
          <w:ilvl w:val="0"/>
          <w:numId w:val="30"/>
        </w:numPr>
        <w:pBdr/>
        <w:spacing/>
        <w:ind/>
        <w:rPr/>
      </w:pPr>
      <w:r>
        <w:t xml:space="preserve">Power off the VM, then choose </w:t>
      </w:r>
      <w:r>
        <w:rPr>
          <w:b/>
          <w:bCs/>
        </w:rPr>
        <w:t xml:space="preserve">Edit</w:t>
      </w:r>
      <w:r>
        <w:t xml:space="preserve">, adjust the resource values, click </w:t>
      </w:r>
      <w:r>
        <w:rPr>
          <w:b/>
          <w:bCs/>
        </w:rPr>
        <w:t xml:space="preserve">Save</w:t>
      </w:r>
      <w:r>
        <w:t xml:space="preserve"> and start the VM again.</w:t>
      </w:r>
      <w:r/>
    </w:p>
    <w:p>
      <w:pPr>
        <w:pStyle w:val="829"/>
        <w:pBdr/>
        <w:spacing/>
        <w:ind/>
        <w:rPr/>
      </w:pPr>
      <w:r>
        <w:t xml:space="preserve">Duplicating a VM (Without vCenter)</w:t>
      </w:r>
      <w:r/>
    </w:p>
    <w:p>
      <w:pPr>
        <w:pBdr/>
        <w:spacing w:after="120"/>
        <w:ind/>
        <w:rPr/>
      </w:pPr>
      <w:r>
        <w:t xml:space="preserve">Without vCenter, cloning a VM on a standalone ESXi host requires a manual procedure:</w:t>
      </w:r>
      <w:r/>
    </w:p>
    <w:p>
      <w:pPr>
        <w:pStyle w:val="819"/>
        <w:numPr>
          <w:ilvl w:val="0"/>
          <w:numId w:val="31"/>
        </w:numPr>
        <w:pBdr/>
        <w:spacing/>
        <w:ind/>
        <w:rPr/>
      </w:pPr>
      <w:r>
        <w:t xml:space="preserve">Navigate to </w:t>
      </w:r>
      <w:r>
        <w:rPr>
          <w:b/>
          <w:bCs/>
        </w:rPr>
        <w:t xml:space="preserve">Storage → Datastore Browser</w:t>
      </w:r>
      <w:r>
        <w:t xml:space="preserve">, select the VM directory, and download the </w:t>
      </w:r>
      <w:r>
        <w:rPr>
          <w:rFonts w:ascii="Consolas" w:hAnsi="Consolas" w:eastAsia="Consolas" w:cs="Consolas"/>
          <w:sz w:val="22"/>
          <w:szCs w:val="22"/>
        </w:rPr>
        <w:t xml:space="preserve">.vmx</w:t>
      </w:r>
      <w:r>
        <w:t xml:space="preserve"> and </w:t>
      </w:r>
      <w:r>
        <w:rPr>
          <w:rFonts w:ascii="Consolas" w:hAnsi="Consolas" w:eastAsia="Consolas" w:cs="Consolas"/>
          <w:sz w:val="22"/>
          <w:szCs w:val="22"/>
        </w:rPr>
        <w:t xml:space="preserve">.vmdk</w:t>
      </w:r>
      <w:r>
        <w:t xml:space="preserve"> files.</w:t>
      </w:r>
      <w:r/>
    </w:p>
    <w:p>
      <w:pPr>
        <w:pBdr/>
        <w:spacing w:after="120" w:before="120"/>
        <w:ind/>
        <w:jc w:val="center"/>
        <w:rPr/>
      </w:pPr>
      <w:r>
        <mc:AlternateContent>
          <mc:Choice Requires="wpg">
            <w:drawing>
              <wp:inline xmlns:wp="http://schemas.openxmlformats.org/drawingml/2006/wordprocessingDrawing" distT="0" distB="0" distL="0" distR="0">
                <wp:extent cx="5143500" cy="3305175"/>
                <wp:effectExtent l="0" t="0" r="0" b="0"/>
                <wp:docPr id="1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pic:cNvPicPr>
                        <pic:nvPr/>
                      </pic:nvPicPr>
                      <pic:blipFill rotWithShape="1">
                        <a:blip r:embed="rId27"/>
                        <a:stretch/>
                      </pic:blipFill>
                      <pic:spPr bwMode="auto">
                        <a:xfrm>
                          <a:off x="0" y="0"/>
                          <a:ext cx="5143500" cy="330517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 o:spid="_x0000_s16" type="#_x0000_t75" style="width:405.00pt;height:260.25pt;mso-wrap-distance-left:0.00pt;mso-wrap-distance-top:0.00pt;mso-wrap-distance-right:0.00pt;mso-wrap-distance-bottom:0.00pt;z-index:1;" stroked="false">
                <v:imagedata r:id="rId27" o:title=""/>
                <o:lock v:ext="edit" rotation="t"/>
              </v:shape>
            </w:pict>
          </mc:Fallback>
        </mc:AlternateContent>
      </w:r>
      <w:r/>
    </w:p>
    <w:p>
      <w:pPr>
        <w:pStyle w:val="819"/>
        <w:numPr>
          <w:ilvl w:val="0"/>
          <w:numId w:val="31"/>
        </w:numPr>
        <w:pBdr/>
        <w:spacing/>
        <w:ind/>
        <w:rPr/>
      </w:pPr>
      <w:r>
        <w:t xml:space="preserve">Open the .vmx file locally and apply the following changes:</w:t>
      </w:r>
      <w:r/>
    </w:p>
    <w:p>
      <w:pPr>
        <w:pStyle w:val="819"/>
        <w:numPr>
          <w:ilvl w:val="0"/>
          <w:numId w:val="2"/>
        </w:numPr>
        <w:pBdr/>
        <w:spacing/>
        <w:ind/>
        <w:rPr/>
      </w:pPr>
      <w:r>
        <w:t xml:space="preserve">Set a new </w:t>
      </w:r>
      <w:r>
        <w:rPr>
          <w:rFonts w:ascii="Consolas" w:hAnsi="Consolas" w:eastAsia="Consolas" w:cs="Consolas"/>
          <w:sz w:val="22"/>
          <w:szCs w:val="22"/>
        </w:rPr>
        <w:t xml:space="preserve">displayName = "vm-copy"</w:t>
      </w:r>
      <w:r>
        <w:t xml:space="preserve">.</w:t>
      </w:r>
      <w:r/>
    </w:p>
    <w:p>
      <w:pPr>
        <w:pStyle w:val="819"/>
        <w:numPr>
          <w:ilvl w:val="0"/>
          <w:numId w:val="2"/>
        </w:numPr>
        <w:pBdr/>
        <w:spacing/>
        <w:ind/>
        <w:rPr/>
      </w:pPr>
      <w:r>
        <w:t xml:space="preserve">Update </w:t>
      </w:r>
      <w:r>
        <w:rPr>
          <w:rFonts w:ascii="Consolas" w:hAnsi="Consolas" w:eastAsia="Consolas" w:cs="Consolas"/>
          <w:sz w:val="22"/>
          <w:szCs w:val="22"/>
        </w:rPr>
        <w:t xml:space="preserve">scsi0:0.fileName = "vm-copy.vmdk"</w:t>
      </w:r>
      <w:r>
        <w:t xml:space="preserve"> to match the new disk filename.</w:t>
      </w:r>
      <w:r/>
    </w:p>
    <w:p>
      <w:pPr>
        <w:pStyle w:val="819"/>
        <w:numPr>
          <w:ilvl w:val="0"/>
          <w:numId w:val="2"/>
        </w:numPr>
        <w:pBdr/>
        <w:spacing/>
        <w:ind/>
        <w:rPr/>
      </w:pPr>
      <w:r>
        <w:t xml:space="preserve">Delete the following lines so ESXi generates new identifiers on first power-on:</w:t>
      </w:r>
      <w:r>
        <w:rPr>
          <w:rFonts w:ascii="Consolas" w:hAnsi="Consolas" w:eastAsia="Consolas" w:cs="Consolas"/>
          <w:sz w:val="22"/>
          <w:szCs w:val="22"/>
        </w:rPr>
        <w:t xml:space="preserve"> uuid.bios</w:t>
      </w:r>
      <w:r>
        <w:t xml:space="preserve">, </w:t>
      </w:r>
      <w:r>
        <w:rPr>
          <w:rFonts w:ascii="Consolas" w:hAnsi="Consolas" w:eastAsia="Consolas" w:cs="Consolas"/>
          <w:sz w:val="22"/>
          <w:szCs w:val="22"/>
        </w:rPr>
        <w:t xml:space="preserve">uuid.location</w:t>
      </w:r>
      <w:r>
        <w:t xml:space="preserve">, </w:t>
      </w:r>
      <w:r>
        <w:rPr>
          <w:rFonts w:ascii="Consolas" w:hAnsi="Consolas" w:eastAsia="Consolas" w:cs="Consolas"/>
          <w:sz w:val="22"/>
          <w:szCs w:val="22"/>
        </w:rPr>
        <w:t xml:space="preserve">ethernet0.generatedAddress</w:t>
      </w:r>
      <w:r>
        <w:t xml:space="preserve">, </w:t>
      </w:r>
      <w:r>
        <w:rPr>
          <w:rFonts w:ascii="Consolas" w:hAnsi="Consolas" w:eastAsia="Consolas" w:cs="Consolas"/>
          <w:sz w:val="22"/>
          <w:szCs w:val="22"/>
        </w:rPr>
        <w:t xml:space="preserve">ethernet0.generatedAddressOffset</w:t>
      </w:r>
      <w:r>
        <w:t xml:space="preserve">.</w:t>
      </w:r>
      <w:r/>
    </w:p>
    <w:p>
      <w:pPr>
        <w:pStyle w:val="819"/>
        <w:numPr>
          <w:ilvl w:val="0"/>
          <w:numId w:val="31"/>
        </w:numPr>
        <w:pBdr/>
        <w:spacing/>
        <w:ind/>
        <w:rPr/>
      </w:pPr>
      <w:r>
        <w:t xml:space="preserve">Save the modified file under a new name.</w:t>
      </w:r>
      <w:r/>
    </w:p>
    <w:p>
      <w:pPr>
        <w:pStyle w:val="819"/>
        <w:numPr>
          <w:ilvl w:val="0"/>
          <w:numId w:val="31"/>
        </w:numPr>
        <w:pBdr/>
        <w:spacing/>
        <w:ind/>
        <w:rPr/>
      </w:pPr>
      <w:r>
        <w:t xml:space="preserve">In the Datastore Browser, create a new directory for the copy and upload the modified </w:t>
      </w:r>
      <w:r>
        <w:rPr>
          <w:rFonts w:ascii="Consolas" w:hAnsi="Consolas" w:eastAsia="Consolas" w:cs="Consolas"/>
          <w:sz w:val="22"/>
          <w:szCs w:val="22"/>
        </w:rPr>
        <w:t xml:space="preserve">.vmx</w:t>
      </w:r>
      <w:r>
        <w:t xml:space="preserve"> and </w:t>
      </w:r>
      <w:r>
        <w:rPr>
          <w:rFonts w:ascii="Consolas" w:hAnsi="Consolas" w:eastAsia="Consolas" w:cs="Consolas"/>
          <w:sz w:val="22"/>
          <w:szCs w:val="22"/>
        </w:rPr>
        <w:t xml:space="preserve">.vmdk</w:t>
      </w:r>
      <w:r>
        <w:t xml:space="preserve"> files.</w:t>
      </w:r>
      <w:r/>
    </w:p>
    <w:p>
      <w:pPr>
        <w:pStyle w:val="819"/>
        <w:numPr>
          <w:ilvl w:val="0"/>
          <w:numId w:val="31"/>
        </w:numPr>
        <w:pBdr/>
        <w:spacing/>
        <w:ind/>
        <w:rPr/>
      </w:pPr>
      <w:r>
        <w:t xml:space="preserve">Right-click the </w:t>
      </w:r>
      <w:r>
        <w:rPr>
          <w:rFonts w:ascii="Consolas" w:hAnsi="Consolas" w:eastAsia="Consolas" w:cs="Consolas"/>
          <w:sz w:val="22"/>
          <w:szCs w:val="22"/>
        </w:rPr>
        <w:t xml:space="preserve">.vmx</w:t>
      </w:r>
      <w:r>
        <w:t xml:space="preserve"> and choose "Register the VM".</w:t>
      </w:r>
      <w:r/>
    </w:p>
    <w:p>
      <w:pPr>
        <w:pBdr/>
        <w:spacing w:after="120"/>
        <w:ind/>
        <w:rPr/>
      </w:pPr>
      <w:r>
        <w:t xml:space="preserve">The cloned VM now appears under Virtual Machines and can be powered on as an independent system.</w:t>
      </w:r>
      <w:r/>
    </w:p>
    <w:p>
      <w:pPr>
        <w:pBdr/>
        <w:spacing w:after="120" w:before="120"/>
        <w:ind/>
        <w:jc w:val="center"/>
        <w:rPr/>
      </w:pPr>
      <w:r>
        <mc:AlternateContent>
          <mc:Choice Requires="wpg">
            <w:drawing>
              <wp:inline xmlns:wp="http://schemas.openxmlformats.org/drawingml/2006/wordprocessingDrawing" distT="0" distB="0" distL="0" distR="0">
                <wp:extent cx="5143500" cy="1047750"/>
                <wp:effectExtent l="0" t="0" r="0" b="0"/>
                <wp:docPr id="1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pic:cNvPicPr>
                        <pic:nvPr/>
                      </pic:nvPicPr>
                      <pic:blipFill rotWithShape="1">
                        <a:blip r:embed="rId28"/>
                        <a:stretch/>
                      </pic:blipFill>
                      <pic:spPr bwMode="auto">
                        <a:xfrm>
                          <a:off x="0" y="0"/>
                          <a:ext cx="5143500" cy="104775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 o:spid="_x0000_s17" type="#_x0000_t75" style="width:405.00pt;height:82.50pt;mso-wrap-distance-left:0.00pt;mso-wrap-distance-top:0.00pt;mso-wrap-distance-right:0.00pt;mso-wrap-distance-bottom:0.00pt;z-index:1;" stroked="false">
                <v:imagedata r:id="rId28" o:title=""/>
                <o:lock v:ext="edit" rotation="t"/>
              </v:shape>
            </w:pict>
          </mc:Fallback>
        </mc:AlternateContent>
      </w:r>
      <w:r/>
    </w:p>
    <w:p>
      <w:pPr>
        <w:pBdr/>
        <w:spacing/>
        <w:ind/>
        <w:rPr/>
      </w:pPr>
      <w:r/>
      <w:r/>
    </w:p>
    <w:p>
      <w:pPr>
        <w:pStyle w:val="828"/>
        <w:pBdr/>
        <w:spacing/>
        <w:ind/>
        <w:rPr/>
      </w:pPr>
      <w:r>
        <w:t xml:space="preserve">2.3  Exporting a VM (Standalone ESXi)</w:t>
      </w:r>
      <w:r/>
    </w:p>
    <w:p>
      <w:pPr>
        <w:pStyle w:val="819"/>
        <w:numPr>
          <w:ilvl w:val="0"/>
          <w:numId w:val="32"/>
        </w:numPr>
        <w:pBdr/>
        <w:spacing/>
        <w:ind/>
        <w:rPr/>
      </w:pPr>
      <w:r>
        <w:t xml:space="preserve">Navigate to </w:t>
      </w:r>
      <w:r>
        <w:rPr>
          <w:b/>
          <w:bCs/>
        </w:rPr>
        <w:t xml:space="preserve">Storage → Datastore Browser</w:t>
      </w:r>
      <w:r>
        <w:t xml:space="preserve">, select the VM directory, and download the VM files.</w:t>
      </w:r>
      <w:r/>
    </w:p>
    <w:p>
      <w:pPr>
        <w:pBdr/>
        <w:spacing w:after="120"/>
        <w:ind/>
        <w:rPr/>
      </w:pPr>
      <w:r>
        <w:t xml:space="preserve">The exported files (.vmx and .vmdk) can be re-imported on any compatible ESXi host.</w:t>
      </w:r>
      <w:r/>
    </w:p>
    <w:p>
      <w:pPr>
        <w:pBdr/>
        <w:spacing/>
        <w:ind/>
        <w:rPr/>
      </w:pPr>
      <w:r/>
      <w:r/>
    </w:p>
    <w:p>
      <w:pPr>
        <w:pStyle w:val="828"/>
        <w:pBdr/>
        <w:spacing/>
        <w:ind/>
        <w:rPr/>
      </w:pPr>
      <w:r>
        <w:t xml:space="preserve">2.4  Backup of the ESXi Hypervisor Configuration</w:t>
      </w:r>
      <w:r/>
    </w:p>
    <w:p>
      <w:pPr>
        <w:pBdr/>
        <w:spacing w:after="120"/>
        <w:ind/>
        <w:rPr/>
      </w:pPr>
      <w:r>
        <w:t xml:space="preserve">ESXi provides built-in commands to back up and restore the host configuration. The backup includes networking, storage, security, and licensing settings.</w:t>
      </w:r>
      <w:r/>
    </w:p>
    <w:p>
      <w:pPr>
        <w:pStyle w:val="829"/>
        <w:pBdr/>
        <w:spacing/>
        <w:ind/>
        <w:rPr/>
      </w:pPr>
      <w:r>
        <w:t xml:space="preserve">Creating the Backup</w:t>
      </w:r>
      <w:r/>
    </w:p>
    <w:p>
      <w:pPr>
        <w:pStyle w:val="819"/>
        <w:numPr>
          <w:ilvl w:val="0"/>
          <w:numId w:val="33"/>
        </w:numPr>
        <w:pBdr/>
        <w:spacing/>
        <w:ind/>
        <w:rPr/>
      </w:pPr>
      <w:r>
        <w:t xml:space="preserve">Connect to the ESXi host via SSH.</w:t>
      </w:r>
      <w:r/>
    </w:p>
    <w:p>
      <w:pPr>
        <w:pStyle w:val="819"/>
        <w:numPr>
          <w:ilvl w:val="0"/>
          <w:numId w:val="33"/>
        </w:numPr>
        <w:pBdr/>
        <w:spacing/>
        <w:ind/>
        <w:rPr/>
      </w:pPr>
      <w:r>
        <w:t xml:space="preserve">Synchronise the current configuration to the firmware bundle:</w:t>
      </w:r>
      <w:r/>
    </w:p>
    <w:p>
      <w:pPr>
        <w:pBdr>
          <w:top w:val="single" w:color="cccccc" w:sz="4" w:space="0"/>
          <w:left w:val="single" w:color="cccccc" w:sz="4" w:space="0"/>
          <w:bottom w:val="single" w:color="cccccc" w:sz="4" w:space="0"/>
          <w:right w:val="single" w:color="cccccc" w:sz="4" w:space="0"/>
        </w:pBdr>
        <w:shd w:val="clear" w:color="auto" w:fill="f2f2f2"/>
        <w:spacing w:after="100" w:before="100"/>
        <w:ind/>
        <w:rPr/>
      </w:pPr>
      <w:r>
        <w:rPr>
          <w:rFonts w:ascii="Consolas" w:hAnsi="Consolas" w:eastAsia="Consolas" w:cs="Consolas"/>
          <w:sz w:val="20"/>
          <w:szCs w:val="20"/>
        </w:rPr>
        <w:t xml:space="preserve">vim-cmd hostsvc/firmware/sync_config</w:t>
      </w:r>
      <w:r/>
    </w:p>
    <w:p>
      <w:pPr>
        <w:pStyle w:val="819"/>
        <w:numPr>
          <w:ilvl w:val="0"/>
          <w:numId w:val="33"/>
        </w:numPr>
        <w:pBdr/>
        <w:spacing/>
        <w:ind/>
        <w:rPr/>
      </w:pPr>
      <w:r>
        <w:t xml:space="preserve">Generate the backup bundle:</w:t>
      </w:r>
      <w:r/>
    </w:p>
    <w:p>
      <w:pPr>
        <w:pBdr>
          <w:top w:val="single" w:color="cccccc" w:sz="4" w:space="0"/>
          <w:left w:val="single" w:color="cccccc" w:sz="4" w:space="0"/>
          <w:bottom w:val="single" w:color="cccccc" w:sz="4" w:space="0"/>
          <w:right w:val="single" w:color="cccccc" w:sz="4" w:space="0"/>
        </w:pBdr>
        <w:shd w:val="clear" w:color="auto" w:fill="f2f2f2"/>
        <w:spacing w:after="100" w:before="100"/>
        <w:ind/>
        <w:rPr/>
      </w:pPr>
      <w:r>
        <w:rPr>
          <w:rFonts w:ascii="Consolas" w:hAnsi="Consolas" w:eastAsia="Consolas" w:cs="Consolas"/>
          <w:sz w:val="20"/>
          <w:szCs w:val="20"/>
        </w:rPr>
        <w:t xml:space="preserve">vim-cmd hostsvc/firmware/backup_config</w:t>
      </w:r>
      <w:r/>
    </w:p>
    <w:p>
      <w:pPr>
        <w:pBdr/>
        <w:spacing w:after="120"/>
        <w:ind/>
        <w:rPr/>
      </w:pPr>
      <w:r>
        <w:t xml:space="preserve">The command returns a download URL containing an asterisk placeholder which must be replaced with the host IP. Example URL after substitution:</w:t>
      </w:r>
      <w:r/>
    </w:p>
    <w:p>
      <w:pPr>
        <w:pBdr>
          <w:top w:val="single" w:color="cccccc" w:sz="4" w:space="0"/>
          <w:left w:val="single" w:color="cccccc" w:sz="4" w:space="0"/>
          <w:bottom w:val="single" w:color="cccccc" w:sz="4" w:space="0"/>
          <w:right w:val="single" w:color="cccccc" w:sz="4" w:space="0"/>
        </w:pBdr>
        <w:shd w:val="clear" w:color="auto" w:fill="f2f2f2"/>
        <w:spacing w:after="100" w:before="100"/>
        <w:ind/>
        <w:rPr/>
      </w:pPr>
      <w:r>
        <w:rPr>
          <w:rFonts w:ascii="Consolas" w:hAnsi="Consolas" w:eastAsia="Consolas" w:cs="Consolas"/>
          <w:sz w:val="20"/>
          <w:szCs w:val="20"/>
        </w:rPr>
        <w:t xml:space="preserve">http://10.0.10.111/downloads/525be5e5-333a-aa1f-c1b5-4c1ac1723ce4/configBundle-localhost.tgz</w:t>
      </w:r>
      <w:r/>
    </w:p>
    <w:p>
      <w:pPr>
        <w:pBdr/>
        <w:spacing w:after="120"/>
        <w:ind/>
        <w:rPr/>
      </w:pPr>
      <w:r>
        <w:t xml:space="preserve">Open the resulting URL in a browser to download the configuration bundle.</w:t>
      </w:r>
      <w:r/>
    </w:p>
    <w:p>
      <w:pPr>
        <w:pStyle w:val="829"/>
        <w:pBdr/>
        <w:spacing/>
        <w:ind/>
        <w:rPr/>
      </w:pPr>
      <w:r>
        <w:t xml:space="preserve">Restoring the Backup</w:t>
      </w:r>
      <w:r/>
    </w:p>
    <w:p>
      <w:pPr>
        <w:pStyle w:val="819"/>
        <w:numPr>
          <w:ilvl w:val="0"/>
          <w:numId w:val="34"/>
        </w:numPr>
        <w:pBdr/>
        <w:spacing/>
        <w:ind/>
        <w:rPr/>
      </w:pPr>
      <w:r>
        <w:t xml:space="preserve">Place the host in maintenance mode:</w:t>
      </w:r>
      <w:r/>
    </w:p>
    <w:p>
      <w:pPr>
        <w:pBdr>
          <w:top w:val="single" w:color="cccccc" w:sz="4" w:space="0"/>
          <w:left w:val="single" w:color="cccccc" w:sz="4" w:space="0"/>
          <w:bottom w:val="single" w:color="cccccc" w:sz="4" w:space="0"/>
          <w:right w:val="single" w:color="cccccc" w:sz="4" w:space="0"/>
        </w:pBdr>
        <w:shd w:val="clear" w:color="auto" w:fill="f2f2f2"/>
        <w:spacing w:after="100" w:before="100"/>
        <w:ind/>
        <w:rPr/>
      </w:pPr>
      <w:r>
        <w:rPr>
          <w:rFonts w:ascii="Consolas" w:hAnsi="Consolas" w:eastAsia="Consolas" w:cs="Consolas"/>
          <w:sz w:val="20"/>
          <w:szCs w:val="20"/>
        </w:rPr>
        <w:t xml:space="preserve">vim-cmd hostsvc/maintenance_mode_enter</w:t>
      </w:r>
      <w:r/>
    </w:p>
    <w:p>
      <w:pPr>
        <w:pStyle w:val="819"/>
        <w:numPr>
          <w:ilvl w:val="0"/>
          <w:numId w:val="34"/>
        </w:numPr>
        <w:pBdr/>
        <w:spacing/>
        <w:ind/>
        <w:rPr/>
      </w:pPr>
      <w:r>
        <w:t xml:space="preserve">Restore the configuration from the downloaded bundle:</w:t>
      </w:r>
      <w:r/>
    </w:p>
    <w:p>
      <w:pPr>
        <w:pBdr>
          <w:top w:val="single" w:color="cccccc" w:sz="4" w:space="0"/>
          <w:left w:val="single" w:color="cccccc" w:sz="4" w:space="0"/>
          <w:bottom w:val="single" w:color="cccccc" w:sz="4" w:space="0"/>
          <w:right w:val="single" w:color="cccccc" w:sz="4" w:space="0"/>
        </w:pBdr>
        <w:shd w:val="clear" w:color="auto" w:fill="f2f2f2"/>
        <w:spacing w:after="100" w:before="100"/>
        <w:ind/>
        <w:rPr/>
      </w:pPr>
      <w:r>
        <w:rPr>
          <w:rFonts w:ascii="Consolas" w:hAnsi="Consolas" w:eastAsia="Consolas" w:cs="Consolas"/>
          <w:sz w:val="20"/>
          <w:szCs w:val="20"/>
        </w:rPr>
        <w:t xml:space="preserve">vim-cmd hostsvc/firmware/restore_config /tmp/configBundle-localhost.tgz</w:t>
      </w:r>
      <w:r/>
    </w:p>
    <w:p>
      <w:pPr>
        <w:pBdr/>
        <w:spacing w:after="120"/>
        <w:ind/>
        <w:rPr/>
      </w:pPr>
      <w:r>
        <w:t xml:space="preserve">The host reboots automatically after the restore.</w:t>
      </w:r>
      <w:r/>
    </w:p>
    <w:p>
      <w:pPr>
        <w:pBdr/>
        <w:spacing/>
        <w:ind/>
        <w:rPr/>
      </w:pPr>
      <w:r/>
      <w:r/>
    </w:p>
    <w:p>
      <w:pPr>
        <w:pStyle w:val="828"/>
        <w:pBdr/>
        <w:spacing/>
        <w:ind/>
        <w:rPr/>
      </w:pPr>
      <w:r>
        <w:t xml:space="preserve">2.5  Snapshots on Standalone ESXi</w:t>
      </w:r>
      <w:r/>
    </w:p>
    <w:p>
      <w:pPr>
        <w:pStyle w:val="829"/>
        <w:pBdr/>
        <w:spacing/>
        <w:ind/>
        <w:rPr/>
      </w:pPr>
      <w:r>
        <w:t xml:space="preserve">Taking a Snapshot</w:t>
      </w:r>
      <w:r/>
    </w:p>
    <w:p>
      <w:pPr>
        <w:pStyle w:val="819"/>
        <w:numPr>
          <w:ilvl w:val="0"/>
          <w:numId w:val="35"/>
        </w:numPr>
        <w:pBdr/>
        <w:spacing/>
        <w:ind/>
        <w:rPr/>
      </w:pPr>
      <w:r>
        <w:t xml:space="preserve">Open the VM in the host client.</w:t>
      </w:r>
      <w:r/>
    </w:p>
    <w:p>
      <w:pPr>
        <w:pStyle w:val="819"/>
        <w:numPr>
          <w:ilvl w:val="0"/>
          <w:numId w:val="35"/>
        </w:numPr>
        <w:pBdr/>
        <w:spacing/>
        <w:ind/>
        <w:rPr/>
      </w:pPr>
      <w:r>
        <w:t xml:space="preserve">From the action bar select </w:t>
      </w:r>
      <w:r>
        <w:rPr>
          <w:b/>
          <w:bCs/>
        </w:rPr>
        <w:t xml:space="preserve">Actions → Snapshot → Take Snapshot</w:t>
      </w:r>
      <w:r>
        <w:t xml:space="preserve">.</w:t>
      </w:r>
      <w:r/>
    </w:p>
    <w:p>
      <w:pPr>
        <w:pStyle w:val="819"/>
        <w:numPr>
          <w:ilvl w:val="0"/>
          <w:numId w:val="35"/>
        </w:numPr>
        <w:pBdr/>
        <w:spacing/>
        <w:ind/>
        <w:rPr/>
      </w:pPr>
      <w:r>
        <w:t xml:space="preserve">Enter a name and optionally a description.</w:t>
      </w:r>
      <w:r/>
    </w:p>
    <w:p>
      <w:pPr>
        <w:pStyle w:val="819"/>
        <w:numPr>
          <w:ilvl w:val="0"/>
          <w:numId w:val="35"/>
        </w:numPr>
        <w:pBdr/>
        <w:spacing/>
        <w:ind/>
        <w:rPr/>
      </w:pPr>
      <w:r>
        <w:t xml:space="preserve">Click Take Snapshot.</w:t>
      </w:r>
      <w:r/>
    </w:p>
    <w:p>
      <w:pPr>
        <w:pStyle w:val="829"/>
        <w:pBdr/>
        <w:spacing/>
        <w:ind/>
        <w:rPr/>
      </w:pPr>
      <w:r>
        <w:t xml:space="preserve">Restoring a Snapshot</w:t>
      </w:r>
      <w:r/>
    </w:p>
    <w:p>
      <w:pPr>
        <w:pStyle w:val="819"/>
        <w:numPr>
          <w:ilvl w:val="0"/>
          <w:numId w:val="36"/>
        </w:numPr>
        <w:pBdr/>
        <w:spacing/>
        <w:ind/>
        <w:rPr/>
      </w:pPr>
      <w:r>
        <w:t xml:space="preserve">Open the VM.</w:t>
      </w:r>
      <w:r/>
    </w:p>
    <w:p>
      <w:pPr>
        <w:pStyle w:val="819"/>
        <w:numPr>
          <w:ilvl w:val="0"/>
          <w:numId w:val="36"/>
        </w:numPr>
        <w:pBdr/>
        <w:spacing/>
        <w:ind/>
        <w:rPr/>
      </w:pPr>
      <w:r>
        <w:t xml:space="preserve">Select </w:t>
      </w:r>
      <w:r>
        <w:rPr>
          <w:b/>
          <w:bCs/>
        </w:rPr>
        <w:t xml:space="preserve">Actions → Snapshot → Restore Snapshot</w:t>
      </w:r>
      <w:r>
        <w:t xml:space="preserve">.</w:t>
      </w:r>
      <w:r/>
    </w:p>
    <w:p>
      <w:pPr>
        <w:pStyle w:val="819"/>
        <w:numPr>
          <w:ilvl w:val="0"/>
          <w:numId w:val="36"/>
        </w:numPr>
        <w:pBdr/>
        <w:spacing/>
        <w:ind/>
        <w:rPr/>
      </w:pPr>
      <w:r>
        <w:t xml:space="preserve">Click Restore to confirm.</w:t>
      </w:r>
      <w:r/>
    </w:p>
    <w:p>
      <w:pPr>
        <w:pBdr/>
        <w:spacing/>
        <w:ind/>
        <w:rPr/>
      </w:pPr>
      <w:r/>
      <w:r/>
    </w:p>
    <w:p>
      <w:pPr>
        <w:pStyle w:val="828"/>
        <w:pBdr/>
        <w:spacing/>
        <w:ind/>
        <w:rPr/>
      </w:pPr>
      <w:r>
        <w:t xml:space="preserve">2.6  Backing Up a VM via OVF Export</w:t>
      </w:r>
      <w:r/>
    </w:p>
    <w:p>
      <w:pPr>
        <w:pStyle w:val="819"/>
        <w:numPr>
          <w:ilvl w:val="0"/>
          <w:numId w:val="37"/>
        </w:numPr>
        <w:pBdr/>
        <w:spacing/>
        <w:ind/>
        <w:rPr/>
      </w:pPr>
      <w:r>
        <w:t xml:space="preserve">Open the VM in the host client.</w:t>
      </w:r>
      <w:r/>
    </w:p>
    <w:p>
      <w:pPr>
        <w:pStyle w:val="819"/>
        <w:numPr>
          <w:ilvl w:val="0"/>
          <w:numId w:val="37"/>
        </w:numPr>
        <w:pBdr/>
        <w:spacing/>
        <w:ind/>
        <w:rPr/>
      </w:pPr>
      <w:r>
        <w:t xml:space="preserve">Select </w:t>
      </w:r>
      <w:r>
        <w:rPr>
          <w:b/>
          <w:bCs/>
        </w:rPr>
        <w:t xml:space="preserve">Actions → Export</w:t>
      </w:r>
      <w:r>
        <w:t xml:space="preserve">.</w:t>
      </w:r>
      <w:r/>
    </w:p>
    <w:p>
      <w:pPr>
        <w:pStyle w:val="819"/>
        <w:numPr>
          <w:ilvl w:val="0"/>
          <w:numId w:val="37"/>
        </w:numPr>
        <w:pBdr/>
        <w:spacing/>
        <w:ind/>
        <w:rPr/>
      </w:pPr>
      <w:r>
        <w:t xml:space="preserve">Enable all components (VMDK, MF, OVF).</w:t>
      </w:r>
      <w:r/>
    </w:p>
    <w:p>
      <w:pPr>
        <w:pStyle w:val="819"/>
        <w:numPr>
          <w:ilvl w:val="0"/>
          <w:numId w:val="37"/>
        </w:numPr>
        <w:pBdr/>
        <w:spacing/>
        <w:ind/>
        <w:rPr/>
      </w:pPr>
      <w:r>
        <w:t xml:space="preserve">Click Export — the browser downloads the files.</w:t>
      </w:r>
      <w:r/>
    </w:p>
    <w:p>
      <w:pPr>
        <w:pStyle w:val="829"/>
        <w:pBdr/>
        <w:spacing/>
        <w:ind/>
        <w:rPr/>
      </w:pPr>
      <w:r>
        <w:t xml:space="preserve">Restoring an OVF Backup</w:t>
      </w:r>
      <w:r/>
    </w:p>
    <w:p>
      <w:pPr>
        <w:pStyle w:val="819"/>
        <w:numPr>
          <w:ilvl w:val="0"/>
          <w:numId w:val="38"/>
        </w:numPr>
        <w:pBdr/>
        <w:spacing/>
        <w:ind/>
        <w:rPr/>
      </w:pPr>
      <w:r>
        <w:t xml:space="preserve">In the sidebar, click </w:t>
      </w:r>
      <w:r>
        <w:rPr>
          <w:b/>
          <w:bCs/>
        </w:rPr>
        <w:t xml:space="preserve">Host</w:t>
      </w:r>
      <w:r>
        <w:t xml:space="preserve">.</w:t>
      </w:r>
      <w:r/>
    </w:p>
    <w:p>
      <w:pPr>
        <w:pStyle w:val="819"/>
        <w:numPr>
          <w:ilvl w:val="0"/>
          <w:numId w:val="38"/>
        </w:numPr>
        <w:pBdr/>
        <w:spacing/>
        <w:ind/>
        <w:rPr/>
      </w:pPr>
      <w:r>
        <w:t xml:space="preserve">Select </w:t>
      </w:r>
      <w:r>
        <w:rPr>
          <w:b/>
          <w:bCs/>
        </w:rPr>
        <w:t xml:space="preserve">Create / Register VM</w:t>
      </w:r>
      <w:r>
        <w:t xml:space="preserve"> in the action bar.</w:t>
      </w:r>
      <w:r/>
    </w:p>
    <w:p>
      <w:pPr>
        <w:pStyle w:val="819"/>
        <w:numPr>
          <w:ilvl w:val="0"/>
          <w:numId w:val="38"/>
        </w:numPr>
        <w:pBdr/>
        <w:spacing/>
        <w:ind/>
        <w:rPr/>
      </w:pPr>
      <w:r>
        <w:t xml:space="preserve">Choose "Deploy a virtual machine from an OVF or OVA file" and click Next.</w:t>
      </w:r>
      <w:r/>
    </w:p>
    <w:p>
      <w:pPr>
        <w:pStyle w:val="819"/>
        <w:numPr>
          <w:ilvl w:val="0"/>
          <w:numId w:val="38"/>
        </w:numPr>
        <w:pBdr/>
        <w:spacing/>
        <w:ind/>
        <w:rPr/>
      </w:pPr>
      <w:r>
        <w:t xml:space="preserve">Enter a name for the new VM and drag-and-drop the .vmdk and .ovf files.</w:t>
      </w:r>
      <w:r/>
    </w:p>
    <w:p>
      <w:pPr>
        <w:pStyle w:val="819"/>
        <w:numPr>
          <w:ilvl w:val="0"/>
          <w:numId w:val="38"/>
        </w:numPr>
        <w:pBdr/>
        <w:spacing/>
        <w:ind/>
        <w:rPr/>
      </w:pPr>
      <w:r>
        <w:t xml:space="preserve">Choose the storage and network configuration.</w:t>
      </w:r>
      <w:r/>
    </w:p>
    <w:p>
      <w:pPr>
        <w:pStyle w:val="819"/>
        <w:numPr>
          <w:ilvl w:val="0"/>
          <w:numId w:val="38"/>
        </w:numPr>
        <w:pBdr/>
        <w:spacing/>
        <w:ind/>
        <w:rPr/>
      </w:pPr>
      <w:r>
        <w:t xml:space="preserve">Click Finish.</w:t>
      </w:r>
      <w:r/>
    </w:p>
    <w:p>
      <w:pPr>
        <w:pBdr/>
        <w:spacing/>
        <w:ind/>
        <w:rPr/>
      </w:pPr>
      <w:r/>
      <w:r/>
    </w:p>
    <w:p>
      <w:pPr>
        <w:pStyle w:val="828"/>
        <w:pBdr/>
        <w:spacing/>
        <w:ind/>
        <w:rPr/>
      </w:pPr>
      <w:r>
        <w:t xml:space="preserve">2.7  Creating a VM Template via CLI</w:t>
      </w:r>
      <w:r/>
    </w:p>
    <w:p>
      <w:pPr>
        <w:pBdr>
          <w:top w:val="single" w:color="d9822b" w:sz="6" w:space="0"/>
          <w:left w:val="single" w:color="d9822b" w:sz="18" w:space="0"/>
          <w:bottom w:val="single" w:color="d9822b" w:sz="6" w:space="0"/>
          <w:right w:val="single" w:color="d9822b" w:sz="6" w:space="0"/>
        </w:pBdr>
        <w:shd w:val="clear" w:color="auto" w:fill="fdf2e9"/>
        <w:spacing w:after="150" w:before="150"/>
        <w:ind/>
        <w:rPr/>
      </w:pPr>
      <w:r>
        <w:rPr>
          <w:b/>
          <w:bCs/>
          <w:color w:val="8b5a1b"/>
        </w:rPr>
        <w:t xml:space="preserve">Standalone ESXi limitation: </w:t>
      </w:r>
      <w:r>
        <w:t xml:space="preserve">ESXi Free / standalone does not offer a built-in template feature. The procedure below replicates template functionality manually via CLI cloning.</w:t>
      </w:r>
      <w:r/>
    </w:p>
    <w:p>
      <w:pPr>
        <w:pStyle w:val="819"/>
        <w:numPr>
          <w:ilvl w:val="0"/>
          <w:numId w:val="39"/>
        </w:numPr>
        <w:pBdr/>
        <w:spacing/>
        <w:ind/>
        <w:rPr/>
      </w:pPr>
      <w:r>
        <w:t xml:space="preserve">Connect to the ESXi host via SSH.</w:t>
      </w:r>
      <w:r/>
    </w:p>
    <w:p>
      <w:pPr>
        <w:pStyle w:val="819"/>
        <w:numPr>
          <w:ilvl w:val="0"/>
          <w:numId w:val="39"/>
        </w:numPr>
        <w:pBdr/>
        <w:spacing/>
        <w:ind/>
        <w:rPr/>
      </w:pPr>
      <w:r>
        <w:t xml:space="preserve">Create a folder for the template:</w:t>
      </w:r>
      <w:r/>
    </w:p>
    <w:p>
      <w:pPr>
        <w:pBdr>
          <w:top w:val="single" w:color="cccccc" w:sz="4" w:space="0"/>
          <w:left w:val="single" w:color="cccccc" w:sz="4" w:space="0"/>
          <w:bottom w:val="single" w:color="cccccc" w:sz="4" w:space="0"/>
          <w:right w:val="single" w:color="cccccc" w:sz="4" w:space="0"/>
        </w:pBdr>
        <w:shd w:val="clear" w:color="auto" w:fill="f2f2f2"/>
        <w:spacing w:after="100" w:before="100"/>
        <w:ind/>
        <w:rPr/>
      </w:pPr>
      <w:r>
        <w:rPr>
          <w:rFonts w:ascii="Consolas" w:hAnsi="Consolas" w:eastAsia="Consolas" w:cs="Consolas"/>
          <w:sz w:val="20"/>
          <w:szCs w:val="20"/>
        </w:rPr>
        <w:t xml:space="preserve">mkdir /vmfs/volumes/datastore1/mein-template</w:t>
      </w:r>
      <w:r/>
    </w:p>
    <w:p>
      <w:pPr>
        <w:pStyle w:val="819"/>
        <w:numPr>
          <w:ilvl w:val="0"/>
          <w:numId w:val="39"/>
        </w:numPr>
        <w:pBdr/>
        <w:spacing/>
        <w:ind/>
        <w:rPr/>
      </w:pPr>
      <w:r>
        <w:t xml:space="preserve">Clone the source VM disk into the template folder:</w:t>
      </w:r>
      <w:r/>
    </w:p>
    <w:p>
      <w:pPr>
        <w:pBdr>
          <w:top w:val="single" w:color="cccccc" w:sz="4" w:space="0"/>
          <w:left w:val="single" w:color="cccccc" w:sz="4" w:space="0"/>
          <w:bottom w:val="none" w:color="000000" w:sz="0" w:space="0"/>
          <w:right w:val="single" w:color="cccccc" w:sz="4" w:space="0"/>
        </w:pBdr>
        <w:shd w:val="clear" w:color="auto" w:fill="f2f2f2"/>
        <w:spacing w:after="0" w:before="100"/>
        <w:ind/>
        <w:rPr/>
      </w:pPr>
      <w:r>
        <w:rPr>
          <w:rFonts w:ascii="Consolas" w:hAnsi="Consolas" w:eastAsia="Consolas" w:cs="Consolas"/>
          <w:sz w:val="20"/>
          <w:szCs w:val="20"/>
        </w:rPr>
        <w:t xml:space="preserve">vmkfstools -i /vmfs/volumes/datastore1/vm-linux/vm-linux.vmdk \</w:t>
      </w:r>
      <w:r/>
    </w:p>
    <w:p>
      <w:pPr>
        <w:pBdr>
          <w:top w:val="none" w:color="000000" w:sz="0" w:space="0"/>
          <w:left w:val="single" w:color="cccccc" w:sz="4" w:space="0"/>
          <w:bottom w:val="single" w:color="cccccc" w:sz="4" w:space="0"/>
          <w:right w:val="single" w:color="cccccc" w:sz="4" w:space="0"/>
        </w:pBdr>
        <w:shd w:val="clear" w:color="auto" w:fill="f2f2f2"/>
        <w:spacing w:after="100" w:before="0"/>
        <w:ind/>
        <w:rPr/>
      </w:pPr>
      <w:r>
        <w:rPr>
          <w:rFonts w:ascii="Consolas" w:hAnsi="Consolas" w:eastAsia="Consolas" w:cs="Consolas"/>
          <w:sz w:val="20"/>
          <w:szCs w:val="20"/>
        </w:rPr>
        <w:t xml:space="preserve">  /vmfs/volumes/datastore1/mein-template/mein-template.vmdk -d thin</w:t>
      </w:r>
      <w:r/>
    </w:p>
    <w:p>
      <w:pPr>
        <w:pStyle w:val="819"/>
        <w:numPr>
          <w:ilvl w:val="0"/>
          <w:numId w:val="2"/>
        </w:numPr>
        <w:pBdr/>
        <w:spacing/>
        <w:ind/>
        <w:rPr/>
      </w:pPr>
      <w:r>
        <w:rPr>
          <w:b/>
          <w:bCs/>
        </w:rPr>
        <w:t xml:space="preserve">Source:</w:t>
      </w:r>
      <w:r>
        <w:t xml:space="preserve"> </w:t>
      </w:r>
      <w:r>
        <w:rPr>
          <w:rFonts w:ascii="Consolas" w:hAnsi="Consolas" w:eastAsia="Consolas" w:cs="Consolas"/>
          <w:sz w:val="22"/>
          <w:szCs w:val="22"/>
        </w:rPr>
        <w:t xml:space="preserve">/vmfs/volumes/datastore1/vm-linux/vm-linux.vmdk</w:t>
      </w:r>
      <w:r>
        <w:t xml:space="preserve"> — the original VM disk.</w:t>
      </w:r>
      <w:r/>
    </w:p>
    <w:p>
      <w:pPr>
        <w:pStyle w:val="819"/>
        <w:numPr>
          <w:ilvl w:val="0"/>
          <w:numId w:val="2"/>
        </w:numPr>
        <w:pBdr/>
        <w:spacing/>
        <w:ind/>
        <w:rPr/>
      </w:pPr>
      <w:r>
        <w:rPr>
          <w:b/>
          <w:bCs/>
        </w:rPr>
        <w:t xml:space="preserve">Destination:</w:t>
      </w:r>
      <w:r>
        <w:t xml:space="preserve"> </w:t>
      </w:r>
      <w:r>
        <w:rPr>
          <w:rFonts w:ascii="Consolas" w:hAnsi="Consolas" w:eastAsia="Consolas" w:cs="Consolas"/>
          <w:sz w:val="22"/>
          <w:szCs w:val="22"/>
        </w:rPr>
        <w:t xml:space="preserve">/vmfs/volumes/datastore1/mein-template/mein-template.vmdk</w:t>
      </w:r>
      <w:r>
        <w:t xml:space="preserve"> — the cloned disk; the name is freely chosen but should match the folder for consistency.</w:t>
      </w:r>
      <w:r/>
    </w:p>
    <w:p>
      <w:pPr>
        <w:pStyle w:val="819"/>
        <w:numPr>
          <w:ilvl w:val="0"/>
          <w:numId w:val="2"/>
        </w:numPr>
        <w:pBdr/>
        <w:spacing/>
        <w:ind/>
        <w:rPr/>
      </w:pPr>
      <w:r>
        <w:rPr>
          <w:b/>
          <w:bCs/>
        </w:rPr>
        <w:t xml:space="preserve">-i</w:t>
      </w:r>
      <w:r>
        <w:t xml:space="preserve"> — clone or import a VMDK.</w:t>
      </w:r>
      <w:r/>
    </w:p>
    <w:p>
      <w:pPr>
        <w:pStyle w:val="819"/>
        <w:numPr>
          <w:ilvl w:val="0"/>
          <w:numId w:val="2"/>
        </w:numPr>
        <w:pBdr/>
        <w:spacing/>
        <w:ind/>
        <w:rPr/>
      </w:pPr>
      <w:r>
        <w:rPr>
          <w:b/>
          <w:bCs/>
        </w:rPr>
        <w:t xml:space="preserve">-d thin</w:t>
      </w:r>
      <w:r>
        <w:t xml:space="preserve"> — use thin provisioning (only consumes actual disk space).</w:t>
      </w:r>
      <w:r/>
    </w:p>
    <w:p>
      <w:pPr>
        <w:pStyle w:val="819"/>
        <w:numPr>
          <w:ilvl w:val="0"/>
          <w:numId w:val="39"/>
        </w:numPr>
        <w:pBdr/>
        <w:spacing/>
        <w:ind/>
        <w:rPr/>
      </w:pPr>
      <w:r>
        <w:t xml:space="preserve">Copy the VMX configuration file:</w:t>
      </w:r>
      <w:r/>
    </w:p>
    <w:p>
      <w:pPr>
        <w:pBdr>
          <w:top w:val="single" w:color="cccccc" w:sz="4" w:space="0"/>
          <w:left w:val="single" w:color="cccccc" w:sz="4" w:space="0"/>
          <w:bottom w:val="none" w:color="000000" w:sz="0" w:space="0"/>
          <w:right w:val="single" w:color="cccccc" w:sz="4" w:space="0"/>
        </w:pBdr>
        <w:shd w:val="clear" w:color="auto" w:fill="f2f2f2"/>
        <w:spacing w:after="0" w:before="100"/>
        <w:ind/>
        <w:rPr/>
      </w:pPr>
      <w:r>
        <w:rPr>
          <w:rFonts w:ascii="Consolas" w:hAnsi="Consolas" w:eastAsia="Consolas" w:cs="Consolas"/>
          <w:sz w:val="20"/>
          <w:szCs w:val="20"/>
        </w:rPr>
        <w:t xml:space="preserve">cp /vmfs/volumes/datastore1/vm-linux/vm-linux.vmx \</w:t>
      </w:r>
      <w:r/>
    </w:p>
    <w:p>
      <w:pPr>
        <w:pBdr>
          <w:top w:val="none" w:color="000000" w:sz="0" w:space="0"/>
          <w:left w:val="single" w:color="cccccc" w:sz="4" w:space="0"/>
          <w:bottom w:val="single" w:color="cccccc" w:sz="4" w:space="0"/>
          <w:right w:val="single" w:color="cccccc" w:sz="4" w:space="0"/>
        </w:pBdr>
        <w:shd w:val="clear" w:color="auto" w:fill="f2f2f2"/>
        <w:spacing w:after="100" w:before="0"/>
        <w:ind/>
        <w:rPr/>
      </w:pPr>
      <w:r>
        <w:rPr>
          <w:rFonts w:ascii="Consolas" w:hAnsi="Consolas" w:eastAsia="Consolas" w:cs="Consolas"/>
          <w:sz w:val="20"/>
          <w:szCs w:val="20"/>
        </w:rPr>
        <w:t xml:space="preserve">   /vmfs/volumes/datastore1/mein-template/mein-template.vmx</w:t>
      </w:r>
      <w:r/>
    </w:p>
    <w:p>
      <w:pPr>
        <w:pStyle w:val="819"/>
        <w:numPr>
          <w:ilvl w:val="0"/>
          <w:numId w:val="39"/>
        </w:numPr>
        <w:pBdr/>
        <w:spacing/>
        <w:ind/>
        <w:rPr/>
      </w:pPr>
      <w:r>
        <w:t xml:space="preserve">Modify the VMX file: rename references and remove identifiers that would otherwise conflict with the source VM:</w:t>
      </w:r>
      <w:r/>
    </w:p>
    <w:p>
      <w:pPr>
        <w:pBdr>
          <w:top w:val="single" w:color="cccccc" w:sz="4" w:space="0"/>
          <w:left w:val="single" w:color="cccccc" w:sz="4" w:space="0"/>
          <w:bottom w:val="none" w:color="000000" w:sz="0" w:space="0"/>
          <w:right w:val="single" w:color="cccccc" w:sz="4" w:space="0"/>
        </w:pBdr>
        <w:shd w:val="clear" w:color="auto" w:fill="f2f2f2"/>
        <w:spacing w:after="0" w:before="100"/>
        <w:ind/>
        <w:rPr/>
      </w:pPr>
      <w:r>
        <w:rPr>
          <w:rFonts w:ascii="Consolas" w:hAnsi="Consolas" w:eastAsia="Consolas" w:cs="Consolas"/>
          <w:sz w:val="20"/>
          <w:szCs w:val="20"/>
        </w:rPr>
        <w:t xml:space="preserve">sed -i 's/vm-linux/mein-template/g' /vmfs/volumes/datastore1/mein-template/mein-template.vmx</w:t>
      </w:r>
      <w:r/>
    </w:p>
    <w:p>
      <w:pPr>
        <w:pBdr>
          <w:top w:val="none" w:color="000000" w:sz="0" w:space="0"/>
          <w:left w:val="single" w:color="cccccc" w:sz="4" w:space="0"/>
          <w:bottom w:val="none" w:color="000000" w:sz="0" w:space="0"/>
          <w:right w:val="single" w:color="cccccc" w:sz="4" w:space="0"/>
        </w:pBdr>
        <w:shd w:val="clear" w:color="auto" w:fill="f2f2f2"/>
        <w:spacing w:after="0" w:before="0"/>
        <w:ind/>
        <w:rPr/>
      </w:pPr>
      <w:r>
        <w:rPr>
          <w:rFonts w:ascii="Consolas" w:hAnsi="Consolas" w:eastAsia="Consolas" w:cs="Consolas"/>
          <w:sz w:val="20"/>
          <w:szCs w:val="20"/>
        </w:rPr>
        <w:t xml:space="preserve">sed -i '/uuid.bios/d' /vmfs/volumes/datastore1/mein-template/mein-template.vmx</w:t>
      </w:r>
      <w:r/>
    </w:p>
    <w:p>
      <w:pPr>
        <w:pBdr>
          <w:top w:val="none" w:color="000000" w:sz="0" w:space="0"/>
          <w:left w:val="single" w:color="cccccc" w:sz="4" w:space="0"/>
          <w:bottom w:val="none" w:color="000000" w:sz="0" w:space="0"/>
          <w:right w:val="single" w:color="cccccc" w:sz="4" w:space="0"/>
        </w:pBdr>
        <w:shd w:val="clear" w:color="auto" w:fill="f2f2f2"/>
        <w:spacing w:after="0" w:before="0"/>
        <w:ind/>
        <w:rPr/>
      </w:pPr>
      <w:r>
        <w:rPr>
          <w:rFonts w:ascii="Consolas" w:hAnsi="Consolas" w:eastAsia="Consolas" w:cs="Consolas"/>
          <w:sz w:val="20"/>
          <w:szCs w:val="20"/>
        </w:rPr>
        <w:t xml:space="preserve">sed -i '/uuid.location/d' /vmfs/volumes/datastore1/mein-template/mein-template.vmx</w:t>
      </w:r>
      <w:r/>
    </w:p>
    <w:p>
      <w:pPr>
        <w:pBdr>
          <w:top w:val="none" w:color="000000" w:sz="0" w:space="0"/>
          <w:left w:val="single" w:color="cccccc" w:sz="4" w:space="0"/>
          <w:bottom w:val="none" w:color="000000" w:sz="0" w:space="0"/>
          <w:right w:val="single" w:color="cccccc" w:sz="4" w:space="0"/>
        </w:pBdr>
        <w:shd w:val="clear" w:color="auto" w:fill="f2f2f2"/>
        <w:spacing w:after="0" w:before="0"/>
        <w:ind/>
        <w:rPr/>
      </w:pPr>
      <w:r>
        <w:rPr>
          <w:rFonts w:ascii="Consolas" w:hAnsi="Consolas" w:eastAsia="Consolas" w:cs="Consolas"/>
          <w:sz w:val="20"/>
          <w:szCs w:val="20"/>
        </w:rPr>
        <w:t xml:space="preserve">sed -i '/vc.uuid/d' /vmfs/volumes/datastore1/mein-template/mein-template.vmx</w:t>
      </w:r>
      <w:r/>
    </w:p>
    <w:p>
      <w:pPr>
        <w:pBdr>
          <w:top w:val="none" w:color="000000" w:sz="0" w:space="0"/>
          <w:left w:val="single" w:color="cccccc" w:sz="4" w:space="0"/>
          <w:bottom w:val="none" w:color="000000" w:sz="0" w:space="0"/>
          <w:right w:val="single" w:color="cccccc" w:sz="4" w:space="0"/>
        </w:pBdr>
        <w:shd w:val="clear" w:color="auto" w:fill="f2f2f2"/>
        <w:spacing w:after="0" w:before="0"/>
        <w:ind/>
        <w:rPr/>
      </w:pPr>
      <w:r>
        <w:rPr>
          <w:rFonts w:ascii="Consolas" w:hAnsi="Consolas" w:eastAsia="Consolas" w:cs="Consolas"/>
          <w:sz w:val="20"/>
          <w:szCs w:val="20"/>
        </w:rPr>
        <w:t xml:space="preserve">sed -i '/vmci0.id/d' /vmfs/volumes/datastore1/mein-template/mein-template.vmx</w:t>
      </w:r>
      <w:r/>
    </w:p>
    <w:p>
      <w:pPr>
        <w:pBdr>
          <w:top w:val="none" w:color="000000" w:sz="0" w:space="0"/>
          <w:left w:val="single" w:color="cccccc" w:sz="4" w:space="0"/>
          <w:bottom w:val="none" w:color="000000" w:sz="0" w:space="0"/>
          <w:right w:val="single" w:color="cccccc" w:sz="4" w:space="0"/>
        </w:pBdr>
        <w:shd w:val="clear" w:color="auto" w:fill="f2f2f2"/>
        <w:spacing w:after="0" w:before="0"/>
        <w:ind/>
        <w:rPr/>
      </w:pPr>
      <w:r>
        <w:rPr>
          <w:rFonts w:ascii="Consolas" w:hAnsi="Consolas" w:eastAsia="Consolas" w:cs="Consolas"/>
          <w:sz w:val="20"/>
          <w:szCs w:val="20"/>
        </w:rPr>
        <w:t xml:space="preserve">sed -i '/ethernet0.generatedAddress/d' /vmfs/volumes/datastore1/mein-template/mein-template.vmx</w:t>
      </w:r>
      <w:r/>
    </w:p>
    <w:p>
      <w:pPr>
        <w:pBdr>
          <w:top w:val="none" w:color="000000" w:sz="0" w:space="0"/>
          <w:left w:val="single" w:color="cccccc" w:sz="4" w:space="0"/>
          <w:bottom w:val="none" w:color="000000" w:sz="0" w:space="0"/>
          <w:right w:val="single" w:color="cccccc" w:sz="4" w:space="0"/>
        </w:pBdr>
        <w:shd w:val="clear" w:color="auto" w:fill="f2f2f2"/>
        <w:spacing w:after="0" w:before="0"/>
        <w:ind/>
        <w:rPr/>
      </w:pPr>
      <w:r>
        <w:rPr>
          <w:rFonts w:ascii="Consolas" w:hAnsi="Consolas" w:eastAsia="Consolas" w:cs="Consolas"/>
          <w:sz w:val="20"/>
          <w:szCs w:val="20"/>
        </w:rPr>
        <w:t xml:space="preserve">sed -i '/ethernet0.generatedAddressOffset/d' /vmfs/volumes/datastore1/mein-template/mein-template.vmx</w:t>
      </w:r>
      <w:r/>
    </w:p>
    <w:p>
      <w:pPr>
        <w:pBdr>
          <w:top w:val="none" w:color="000000" w:sz="0" w:space="0"/>
          <w:left w:val="single" w:color="cccccc" w:sz="4" w:space="0"/>
          <w:bottom w:val="none" w:color="000000" w:sz="0" w:space="0"/>
          <w:right w:val="single" w:color="cccccc" w:sz="4" w:space="0"/>
        </w:pBdr>
        <w:shd w:val="clear" w:color="auto" w:fill="f2f2f2"/>
        <w:spacing w:after="0" w:before="0"/>
        <w:ind/>
        <w:rPr/>
      </w:pPr>
      <w:r>
        <w:rPr>
          <w:rFonts w:ascii="Consolas" w:hAnsi="Consolas" w:eastAsia="Consolas" w:cs="Consolas"/>
          <w:sz w:val="20"/>
          <w:szCs w:val="20"/>
        </w:rPr>
        <w:t xml:space="preserve">sed -i '/scsi0.sasWWID/d' /vmfs/volumes/datastore1/mein-template/mein-template.vmx</w:t>
      </w:r>
      <w:r/>
    </w:p>
    <w:p>
      <w:pPr>
        <w:pBdr>
          <w:top w:val="none" w:color="000000" w:sz="0" w:space="0"/>
          <w:left w:val="single" w:color="cccccc" w:sz="4" w:space="0"/>
          <w:bottom w:val="none" w:color="000000" w:sz="0" w:space="0"/>
          <w:right w:val="single" w:color="cccccc" w:sz="4" w:space="0"/>
        </w:pBdr>
        <w:shd w:val="clear" w:color="auto" w:fill="f2f2f2"/>
        <w:spacing w:after="0" w:before="0"/>
        <w:ind/>
        <w:rPr/>
      </w:pPr>
      <w:r>
        <w:rPr>
          <w:rFonts w:ascii="Consolas" w:hAnsi="Consolas" w:eastAsia="Consolas" w:cs="Consolas"/>
          <w:sz w:val="20"/>
          <w:szCs w:val="20"/>
        </w:rPr>
        <w:t xml:space="preserve">sed -i '/sched.swap.derivedName/d' /vmfs/volumes/datastore1/mein-template/mein-template.vmx</w:t>
      </w:r>
      <w:r/>
    </w:p>
    <w:p>
      <w:pPr>
        <w:pBdr>
          <w:top w:val="none" w:color="000000" w:sz="0" w:space="0"/>
          <w:left w:val="single" w:color="cccccc" w:sz="4" w:space="0"/>
          <w:bottom w:val="none" w:color="000000" w:sz="0" w:space="0"/>
          <w:right w:val="single" w:color="cccccc" w:sz="4" w:space="0"/>
        </w:pBdr>
        <w:shd w:val="clear" w:color="auto" w:fill="f2f2f2"/>
        <w:spacing w:after="0" w:before="0"/>
        <w:ind/>
        <w:rPr/>
      </w:pPr>
      <w:r>
        <w:rPr>
          <w:rFonts w:ascii="Consolas" w:hAnsi="Consolas" w:eastAsia="Consolas" w:cs="Consolas"/>
          <w:sz w:val="20"/>
          <w:szCs w:val="20"/>
        </w:rPr>
        <w:t xml:space="preserve">sed -i '/migrate.hostLog/d' /vmfs/volumes/datastore1/mein-template/mein-template.vmx</w:t>
      </w:r>
      <w:r/>
    </w:p>
    <w:p>
      <w:pPr>
        <w:pBdr>
          <w:top w:val="none" w:color="000000" w:sz="0" w:space="0"/>
          <w:left w:val="single" w:color="cccccc" w:sz="4" w:space="0"/>
          <w:bottom w:val="none" w:color="000000" w:sz="0" w:space="0"/>
          <w:right w:val="single" w:color="cccccc" w:sz="4" w:space="0"/>
        </w:pBdr>
        <w:shd w:val="clear" w:color="auto" w:fill="f2f2f2"/>
        <w:spacing w:after="0" w:before="0"/>
        <w:ind/>
        <w:rPr/>
      </w:pPr>
      <w:r>
        <w:rPr>
          <w:rFonts w:ascii="Consolas" w:hAnsi="Consolas" w:eastAsia="Consolas" w:cs="Consolas"/>
          <w:sz w:val="20"/>
          <w:szCs w:val="20"/>
        </w:rPr>
        <w:t xml:space="preserve">sed -i '/extendedConfigFile/d' /vmfs/volumes/datastore1/mein-template/mein-template.vmx</w:t>
      </w:r>
      <w:r/>
    </w:p>
    <w:p>
      <w:pPr>
        <w:pBdr>
          <w:top w:val="none" w:color="000000" w:sz="0" w:space="0"/>
          <w:left w:val="single" w:color="cccccc" w:sz="4" w:space="0"/>
          <w:bottom w:val="none" w:color="000000" w:sz="0" w:space="0"/>
          <w:right w:val="single" w:color="cccccc" w:sz="4" w:space="0"/>
        </w:pBdr>
        <w:shd w:val="clear" w:color="auto" w:fill="f2f2f2"/>
        <w:spacing w:after="0" w:before="0"/>
        <w:ind/>
        <w:rPr/>
      </w:pPr>
      <w:r>
        <w:rPr>
          <w:rFonts w:ascii="Consolas" w:hAnsi="Consolas" w:eastAsia="Consolas" w:cs="Consolas"/>
          <w:sz w:val="20"/>
          <w:szCs w:val="20"/>
        </w:rPr>
        <w:t xml:space="preserve">sed -i '/scsi0:0.redo/d' /vmfs/volumes/datastore1/mein-template/mein-template.vmx</w:t>
      </w:r>
      <w:r/>
    </w:p>
    <w:p>
      <w:pPr>
        <w:pBdr>
          <w:top w:val="none" w:color="000000" w:sz="0" w:space="0"/>
          <w:left w:val="single" w:color="cccccc" w:sz="4" w:space="0"/>
          <w:bottom w:val="single" w:color="cccccc" w:sz="4" w:space="0"/>
          <w:right w:val="single" w:color="cccccc" w:sz="4" w:space="0"/>
        </w:pBdr>
        <w:shd w:val="clear" w:color="auto" w:fill="f2f2f2"/>
        <w:spacing w:after="100" w:before="0"/>
        <w:ind/>
        <w:rPr/>
      </w:pPr>
      <w:r>
        <w:rPr>
          <w:rFonts w:ascii="Consolas" w:hAnsi="Consolas" w:eastAsia="Consolas" w:cs="Consolas"/>
          <w:sz w:val="20"/>
          <w:szCs w:val="20"/>
        </w:rPr>
        <w:t xml:space="preserve">sed -i '/checkpoint.vmState/d' /vmfs/volumes/datastore1/mein-template/mein-template.vmx</w:t>
      </w:r>
      <w:r/>
    </w:p>
    <w:p>
      <w:pPr>
        <w:pStyle w:val="819"/>
        <w:numPr>
          <w:ilvl w:val="0"/>
          <w:numId w:val="39"/>
        </w:numPr>
        <w:pBdr/>
        <w:spacing/>
        <w:ind/>
        <w:rPr/>
      </w:pPr>
      <w:r>
        <w:t xml:space="preserve">Register the template VM:</w:t>
      </w:r>
      <w:r/>
    </w:p>
    <w:p>
      <w:pPr>
        <w:pBdr>
          <w:top w:val="single" w:color="cccccc" w:sz="4" w:space="0"/>
          <w:left w:val="single" w:color="cccccc" w:sz="4" w:space="0"/>
          <w:bottom w:val="single" w:color="cccccc" w:sz="4" w:space="0"/>
          <w:right w:val="single" w:color="cccccc" w:sz="4" w:space="0"/>
        </w:pBdr>
        <w:shd w:val="clear" w:color="auto" w:fill="f2f2f2"/>
        <w:spacing w:after="100" w:before="100"/>
        <w:ind/>
        <w:rPr/>
      </w:pPr>
      <w:r>
        <w:rPr>
          <w:rFonts w:ascii="Consolas" w:hAnsi="Consolas" w:eastAsia="Consolas" w:cs="Consolas"/>
          <w:sz w:val="20"/>
          <w:szCs w:val="20"/>
        </w:rPr>
        <w:t xml:space="preserve">vim-cmd solo/registervm /vmfs/volumes/datastore1/mein-template/mein-template.vmx</w:t>
      </w:r>
      <w:r/>
    </w:p>
    <w:p>
      <w:pPr>
        <w:pStyle w:val="829"/>
        <w:pBdr/>
        <w:spacing/>
        <w:ind/>
        <w:rPr/>
      </w:pPr>
      <w:r>
        <w:t xml:space="preserve">Using the Template</w:t>
      </w:r>
      <w:r/>
    </w:p>
    <w:p>
      <w:pPr>
        <w:pStyle w:val="819"/>
        <w:numPr>
          <w:ilvl w:val="0"/>
          <w:numId w:val="40"/>
        </w:numPr>
        <w:pBdr/>
        <w:spacing/>
        <w:ind/>
        <w:rPr/>
      </w:pPr>
      <w:r>
        <w:t xml:space="preserve">In the ESXi host client, choose Create / Register VM.</w:t>
      </w:r>
      <w:r/>
    </w:p>
    <w:p>
      <w:pPr>
        <w:pStyle w:val="819"/>
        <w:numPr>
          <w:ilvl w:val="0"/>
          <w:numId w:val="40"/>
        </w:numPr>
        <w:pBdr/>
        <w:spacing/>
        <w:ind/>
        <w:rPr/>
      </w:pPr>
      <w:r>
        <w:t xml:space="preserve">Select "Register an existing virtual machine", or copy the template files to a new folder and register the copy.</w:t>
      </w:r>
      <w:r/>
    </w:p>
    <w:p>
      <w:pPr>
        <w:pStyle w:val="819"/>
        <w:numPr>
          <w:ilvl w:val="0"/>
          <w:numId w:val="40"/>
        </w:numPr>
        <w:pBdr/>
        <w:spacing/>
        <w:ind/>
        <w:rPr/>
      </w:pPr>
      <w:r>
        <w:t xml:space="preserve">On first boot, choose "I copied it" so that ESXi generates fresh MAC addresses and UUIDs.</w:t>
      </w:r>
      <w:r/>
    </w:p>
    <w:p>
      <w:pPr>
        <w:pBdr>
          <w:top w:val="single" w:color="2e74b5" w:sz="6" w:space="0"/>
          <w:left w:val="single" w:color="2e74b5" w:sz="18" w:space="0"/>
          <w:bottom w:val="single" w:color="2e74b5" w:sz="6" w:space="0"/>
          <w:right w:val="single" w:color="2e74b5" w:sz="6" w:space="0"/>
        </w:pBdr>
        <w:shd w:val="clear" w:color="auto" w:fill="eaf1fb"/>
        <w:spacing w:after="150" w:before="150"/>
        <w:ind/>
        <w:rPr/>
      </w:pPr>
      <w:r>
        <w:rPr>
          <w:b/>
          <w:bCs/>
          <w:color w:val="1f3864"/>
        </w:rPr>
        <w:t xml:space="preserve">Important notes: </w:t>
      </w:r>
      <w:r>
        <w:t xml:space="preserve">The source VM must be shut down before cloning. When starting a copied VM, always choose "I copied it" to avoid MAC address and UUID conflicts with the original. Do not start the template itself — always create copies from it instead.</w:t>
      </w:r>
      <w:r/>
    </w:p>
    <w:p>
      <w:pPr>
        <w:pBdr/>
        <w:spacing/>
        <w:ind/>
        <w:rPr/>
      </w:pPr>
      <w:r/>
      <w:r/>
    </w:p>
    <w:p>
      <w:pPr>
        <w:pStyle w:val="828"/>
        <w:pBdr/>
        <w:spacing/>
        <w:ind/>
        <w:rPr/>
      </w:pPr>
      <w:r>
        <w:t xml:space="preserve">2.8  Installation of the vSphere Client (vCenter Server Appliance)</w:t>
      </w:r>
      <w:r/>
    </w:p>
    <w:p>
      <w:pPr>
        <w:pBdr/>
        <w:spacing w:after="120"/>
        <w:ind/>
        <w:rPr/>
      </w:pPr>
      <w:r>
        <w:t xml:space="preserve">Centralised management of multiple ESXi hosts is provided by vCenter Server, which in modern versions is deployed as a Linux-based appliance (VCSA — vCenter Server Appliance). The installation is performed in two stages.</w:t>
      </w:r>
      <w:r/>
    </w:p>
    <w:p>
      <w:pPr>
        <w:pStyle w:val="829"/>
        <w:pBdr/>
        <w:spacing/>
        <w:ind/>
        <w:rPr/>
      </w:pPr>
      <w:r>
        <w:t xml:space="preserve">Stage 1 — Appliance Deployment</w:t>
      </w:r>
      <w:r/>
    </w:p>
    <w:p>
      <w:pPr>
        <w:pStyle w:val="819"/>
        <w:numPr>
          <w:ilvl w:val="0"/>
          <w:numId w:val="41"/>
        </w:numPr>
        <w:pBdr/>
        <w:spacing/>
        <w:ind/>
        <w:rPr/>
      </w:pPr>
      <w:r>
        <w:t xml:space="preserve">Mount the VCSA ISO locally on the management workstation.</w:t>
      </w:r>
      <w:r/>
    </w:p>
    <w:p>
      <w:pPr>
        <w:pStyle w:val="819"/>
        <w:numPr>
          <w:ilvl w:val="0"/>
          <w:numId w:val="41"/>
        </w:numPr>
        <w:pBdr/>
        <w:spacing/>
        <w:ind/>
        <w:rPr/>
      </w:pPr>
      <w:r>
        <w:t xml:space="preserve">Launch </w:t>
      </w:r>
      <w:r>
        <w:rPr>
          <w:rFonts w:ascii="Consolas" w:hAnsi="Consolas" w:eastAsia="Consolas" w:cs="Consolas"/>
          <w:sz w:val="22"/>
          <w:szCs w:val="22"/>
        </w:rPr>
        <w:t xml:space="preserve">installer.exe</w:t>
      </w:r>
      <w:r>
        <w:t xml:space="preserve"> from the mounted ISO.</w:t>
      </w:r>
      <w:r/>
    </w:p>
    <w:p>
      <w:pPr>
        <w:pStyle w:val="819"/>
        <w:numPr>
          <w:ilvl w:val="0"/>
          <w:numId w:val="41"/>
        </w:numPr>
        <w:pBdr/>
        <w:spacing/>
        <w:ind/>
        <w:rPr/>
      </w:pPr>
      <w:r>
        <w:t xml:space="preserve">Click Install.</w:t>
      </w:r>
      <w:r/>
    </w:p>
    <w:p>
      <w:pPr>
        <w:pStyle w:val="819"/>
        <w:numPr>
          <w:ilvl w:val="0"/>
          <w:numId w:val="41"/>
        </w:numPr>
        <w:pBdr/>
        <w:spacing/>
        <w:ind/>
        <w:rPr/>
      </w:pPr>
      <w:r>
        <w:t xml:space="preserve">Enter the ESXi host that will host the appliance: IP </w:t>
      </w:r>
      <w:r>
        <w:rPr>
          <w:rFonts w:ascii="Consolas" w:hAnsi="Consolas" w:eastAsia="Consolas" w:cs="Consolas"/>
          <w:sz w:val="22"/>
          <w:szCs w:val="22"/>
        </w:rPr>
        <w:t xml:space="preserve">10.0.10.121</w:t>
      </w:r>
      <w:r>
        <w:t xml:space="preserve">, port </w:t>
      </w:r>
      <w:r>
        <w:rPr>
          <w:rFonts w:ascii="Consolas" w:hAnsi="Consolas" w:eastAsia="Consolas" w:cs="Consolas"/>
          <w:sz w:val="22"/>
          <w:szCs w:val="22"/>
        </w:rPr>
        <w:t xml:space="preserve">443</w:t>
      </w:r>
      <w:r>
        <w:t xml:space="preserve">, user </w:t>
      </w:r>
      <w:r>
        <w:rPr>
          <w:rFonts w:ascii="Consolas" w:hAnsi="Consolas" w:eastAsia="Consolas" w:cs="Consolas"/>
          <w:sz w:val="22"/>
          <w:szCs w:val="22"/>
        </w:rPr>
        <w:t xml:space="preserve">root</w:t>
      </w:r>
      <w:r>
        <w:t xml:space="preserve">, and the corresponding password. Accept the certificate.</w:t>
      </w:r>
      <w:r/>
    </w:p>
    <w:p>
      <w:pPr>
        <w:pStyle w:val="819"/>
        <w:numPr>
          <w:ilvl w:val="0"/>
          <w:numId w:val="41"/>
        </w:numPr>
        <w:pBdr/>
        <w:spacing/>
        <w:ind/>
        <w:rPr/>
      </w:pPr>
      <w:r>
        <w:t xml:space="preserve">Set the VM name (e.g. </w:t>
      </w:r>
      <w:r>
        <w:rPr>
          <w:rFonts w:ascii="Consolas" w:hAnsi="Consolas" w:eastAsia="Consolas" w:cs="Consolas"/>
          <w:sz w:val="22"/>
          <w:szCs w:val="22"/>
        </w:rPr>
        <w:t xml:space="preserve">vCenter</w:t>
      </w:r>
      <w:r>
        <w:t xml:space="preserve">) and the appliance root password.</w:t>
      </w:r>
      <w:r/>
    </w:p>
    <w:p>
      <w:pPr>
        <w:pStyle w:val="819"/>
        <w:numPr>
          <w:ilvl w:val="0"/>
          <w:numId w:val="41"/>
        </w:numPr>
        <w:pBdr/>
        <w:spacing/>
        <w:ind/>
        <w:rPr/>
      </w:pPr>
      <w:r>
        <w:t xml:space="preserve">Choose the deployment size — Tiny — and enable Thin Disk Mode.</w:t>
      </w:r>
      <w:r/>
    </w:p>
    <w:p>
      <w:pPr>
        <w:pStyle w:val="819"/>
        <w:numPr>
          <w:ilvl w:val="0"/>
          <w:numId w:val="41"/>
        </w:numPr>
        <w:pBdr/>
        <w:spacing/>
        <w:ind/>
        <w:rPr/>
      </w:pPr>
      <w:r>
        <w:t xml:space="preserve">Select the destination datastore.</w:t>
      </w:r>
      <w:r/>
    </w:p>
    <w:p>
      <w:pPr>
        <w:pStyle w:val="819"/>
        <w:numPr>
          <w:ilvl w:val="0"/>
          <w:numId w:val="41"/>
        </w:numPr>
        <w:pBdr/>
        <w:spacing/>
        <w:ind/>
        <w:rPr/>
      </w:pPr>
      <w:r>
        <w:t xml:space="preserve">Configure the network: static IPv4 address, subnet mask </w:t>
      </w:r>
      <w:r>
        <w:rPr>
          <w:rFonts w:ascii="Consolas" w:hAnsi="Consolas" w:eastAsia="Consolas" w:cs="Consolas"/>
          <w:sz w:val="22"/>
          <w:szCs w:val="22"/>
        </w:rPr>
        <w:t xml:space="preserve">255.255.0.0</w:t>
      </w:r>
      <w:r>
        <w:t xml:space="preserve">, gateway </w:t>
      </w:r>
      <w:r>
        <w:rPr>
          <w:rFonts w:ascii="Consolas" w:hAnsi="Consolas" w:eastAsia="Consolas" w:cs="Consolas"/>
          <w:sz w:val="22"/>
          <w:szCs w:val="22"/>
        </w:rPr>
        <w:t xml:space="preserve">10.0.0.1</w:t>
      </w:r>
      <w:r>
        <w:t xml:space="preserve">, DNS </w:t>
      </w:r>
      <w:r>
        <w:rPr>
          <w:rFonts w:ascii="Consolas" w:hAnsi="Consolas" w:eastAsia="Consolas" w:cs="Consolas"/>
          <w:sz w:val="22"/>
          <w:szCs w:val="22"/>
        </w:rPr>
        <w:t xml:space="preserve">10.0.0.1</w:t>
      </w:r>
      <w:r>
        <w:t xml:space="preserve">.</w:t>
      </w:r>
      <w:r/>
    </w:p>
    <w:p>
      <w:pPr>
        <w:pStyle w:val="829"/>
        <w:pBdr/>
        <w:spacing/>
        <w:ind/>
        <w:rPr/>
      </w:pPr>
      <w:r>
        <w:t xml:space="preserve">Stage 2 — Appliance Configuration</w:t>
      </w:r>
      <w:r/>
    </w:p>
    <w:p>
      <w:pPr>
        <w:pStyle w:val="819"/>
        <w:numPr>
          <w:ilvl w:val="0"/>
          <w:numId w:val="42"/>
        </w:numPr>
        <w:pBdr/>
        <w:spacing/>
        <w:ind/>
        <w:rPr/>
      </w:pPr>
      <w:r>
        <w:t xml:space="preserve">Configure NTP using a reachable time source such as </w:t>
      </w:r>
      <w:r>
        <w:rPr>
          <w:rFonts w:ascii="Consolas" w:hAnsi="Consolas" w:eastAsia="Consolas" w:cs="Consolas"/>
          <w:sz w:val="22"/>
          <w:szCs w:val="22"/>
        </w:rPr>
        <w:t xml:space="preserve">pool.ntp.org</w:t>
      </w:r>
      <w:r>
        <w:t xml:space="preserve">.</w:t>
      </w:r>
      <w:r/>
    </w:p>
    <w:p>
      <w:pPr>
        <w:pStyle w:val="819"/>
        <w:numPr>
          <w:ilvl w:val="0"/>
          <w:numId w:val="42"/>
        </w:numPr>
        <w:pBdr/>
        <w:spacing/>
        <w:ind/>
        <w:rPr/>
      </w:pPr>
      <w:r>
        <w:t xml:space="preserve">Create the SSO domain </w:t>
      </w:r>
      <w:r>
        <w:rPr>
          <w:rFonts w:ascii="Consolas" w:hAnsi="Consolas" w:eastAsia="Consolas" w:cs="Consolas"/>
          <w:sz w:val="22"/>
          <w:szCs w:val="22"/>
        </w:rPr>
        <w:t xml:space="preserve">vsphere.local</w:t>
      </w:r>
      <w:r>
        <w:t xml:space="preserve"> with administrator user </w:t>
      </w:r>
      <w:r>
        <w:rPr>
          <w:rFonts w:ascii="Consolas" w:hAnsi="Consolas" w:eastAsia="Consolas" w:cs="Consolas"/>
          <w:sz w:val="22"/>
          <w:szCs w:val="22"/>
        </w:rPr>
        <w:t xml:space="preserve">administrator</w:t>
      </w:r>
      <w:r>
        <w:t xml:space="preserve"> and a strong password.</w:t>
      </w:r>
      <w:r/>
    </w:p>
    <w:p>
      <w:pPr>
        <w:pStyle w:val="819"/>
        <w:numPr>
          <w:ilvl w:val="0"/>
          <w:numId w:val="42"/>
        </w:numPr>
        <w:pBdr/>
        <w:spacing/>
        <w:ind/>
        <w:rPr/>
      </w:pPr>
      <w:r>
        <w:t xml:space="preserve">Deselect the Customer Experience Improvement Program.</w:t>
      </w:r>
      <w:r/>
    </w:p>
    <w:p>
      <w:pPr>
        <w:pStyle w:val="819"/>
        <w:numPr>
          <w:ilvl w:val="0"/>
          <w:numId w:val="42"/>
        </w:numPr>
        <w:pBdr/>
        <w:spacing/>
        <w:ind/>
        <w:rPr/>
      </w:pPr>
      <w:r>
        <w:t xml:space="preserve">Click Finish and wait approximately 15–20 minutes for the configuration to complete.</w:t>
      </w:r>
      <w:r/>
    </w:p>
    <w:p>
      <w:pPr>
        <w:pStyle w:val="829"/>
        <w:pBdr/>
        <w:spacing/>
        <w:ind/>
        <w:rPr/>
      </w:pPr>
      <w:r>
        <w:t xml:space="preserve">Accessing the vSphere Client</w:t>
      </w:r>
      <w:r/>
    </w:p>
    <w:p>
      <w:pPr>
        <w:pBdr/>
        <w:spacing w:after="120"/>
        <w:ind/>
        <w:rPr/>
      </w:pPr>
      <w:r>
        <w:t xml:space="preserve">Once Stage 2 completes, the vSphere Client is available at:</w:t>
      </w:r>
      <w:r/>
    </w:p>
    <w:p>
      <w:pPr>
        <w:pBdr>
          <w:top w:val="single" w:color="cccccc" w:sz="4" w:space="0"/>
          <w:left w:val="single" w:color="cccccc" w:sz="4" w:space="0"/>
          <w:bottom w:val="single" w:color="cccccc" w:sz="4" w:space="0"/>
          <w:right w:val="single" w:color="cccccc" w:sz="4" w:space="0"/>
        </w:pBdr>
        <w:shd w:val="clear" w:color="auto" w:fill="f2f2f2"/>
        <w:spacing w:after="100" w:before="100"/>
        <w:ind/>
        <w:rPr/>
      </w:pPr>
      <w:r>
        <w:rPr>
          <w:rFonts w:ascii="Consolas" w:hAnsi="Consolas" w:eastAsia="Consolas" w:cs="Consolas"/>
          <w:sz w:val="20"/>
          <w:szCs w:val="20"/>
        </w:rPr>
        <w:t xml:space="preserve">https://10.0.10.119/ui</w:t>
      </w:r>
      <w:r/>
    </w:p>
    <w:p>
      <w:pPr>
        <w:pBdr/>
        <w:spacing w:after="120"/>
        <w:ind/>
        <w:rPr/>
      </w:pPr>
      <w:r>
        <w:t xml:space="preserve">Log in with the SSO credentials:</w:t>
      </w:r>
      <w:r/>
    </w:p>
    <w:p>
      <w:pPr>
        <w:pStyle w:val="819"/>
        <w:numPr>
          <w:ilvl w:val="0"/>
          <w:numId w:val="2"/>
        </w:numPr>
        <w:pBdr/>
        <w:spacing/>
        <w:ind/>
        <w:rPr/>
      </w:pPr>
      <w:r>
        <w:rPr>
          <w:b/>
          <w:bCs/>
        </w:rPr>
        <w:t xml:space="preserve">User: </w:t>
      </w:r>
      <w:r>
        <w:rPr>
          <w:rFonts w:ascii="Consolas" w:hAnsi="Consolas" w:eastAsia="Consolas" w:cs="Consolas"/>
          <w:sz w:val="22"/>
          <w:szCs w:val="22"/>
        </w:rPr>
        <w:t xml:space="preserve">administrator@vsphere.local</w:t>
      </w:r>
      <w:r/>
    </w:p>
    <w:p>
      <w:pPr>
        <w:pStyle w:val="819"/>
        <w:numPr>
          <w:ilvl w:val="0"/>
          <w:numId w:val="2"/>
        </w:numPr>
        <w:pBdr/>
        <w:spacing/>
        <w:ind/>
        <w:rPr/>
      </w:pPr>
      <w:r>
        <w:rPr>
          <w:b/>
          <w:bCs/>
        </w:rPr>
        <w:t xml:space="preserve">Password: </w:t>
      </w:r>
      <w:r>
        <w:t xml:space="preserve">(the password set during Stage 2)</w:t>
      </w:r>
      <w:r/>
    </w:p>
    <w:p>
      <w:pPr>
        <w:pBdr/>
        <w:spacing/>
        <w:ind/>
        <w:rPr/>
      </w:pPr>
      <w:r/>
      <w:r/>
    </w:p>
    <w:p>
      <w:pPr>
        <w:pStyle w:val="828"/>
        <w:pBdr/>
        <w:spacing/>
        <w:ind/>
        <w:rPr/>
      </w:pPr>
      <w:r>
        <w:t xml:space="preserve">2.9  Creating a Datacenter (vSphere Client)</w:t>
      </w:r>
      <w:r/>
    </w:p>
    <w:p>
      <w:pPr>
        <w:pBdr/>
        <w:spacing w:after="120"/>
        <w:ind/>
        <w:rPr/>
      </w:pPr>
      <w:r>
        <w:t xml:space="preserve">Before any ESXi host can be added to vCenter, a Datacenter object must exist in the inventory.</w:t>
      </w:r>
      <w:r/>
    </w:p>
    <w:p>
      <w:pPr>
        <w:pStyle w:val="819"/>
        <w:numPr>
          <w:ilvl w:val="0"/>
          <w:numId w:val="43"/>
        </w:numPr>
        <w:pBdr/>
        <w:spacing/>
        <w:ind/>
        <w:rPr/>
      </w:pPr>
      <w:r>
        <w:t xml:space="preserve">Right-click the vCenter IP address in the inventory tree and select New Datacenter…</w:t>
      </w:r>
      <w:r/>
    </w:p>
    <w:p>
      <w:pPr>
        <w:pBdr/>
        <w:spacing w:after="120" w:before="120"/>
        <w:ind/>
        <w:jc w:val="center"/>
        <w:rPr/>
      </w:pPr>
      <w:r>
        <mc:AlternateContent>
          <mc:Choice Requires="wpg">
            <w:drawing>
              <wp:inline xmlns:wp="http://schemas.openxmlformats.org/drawingml/2006/wordprocessingDrawing" distT="0" distB="0" distL="0" distR="0">
                <wp:extent cx="4171950" cy="4629150"/>
                <wp:effectExtent l="0" t="0" r="0" b="0"/>
                <wp:docPr id="1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pic:cNvPicPr>
                        <pic:nvPr/>
                      </pic:nvPicPr>
                      <pic:blipFill rotWithShape="1">
                        <a:blip r:embed="rId29"/>
                        <a:stretch/>
                      </pic:blipFill>
                      <pic:spPr bwMode="auto">
                        <a:xfrm>
                          <a:off x="0" y="0"/>
                          <a:ext cx="4171950" cy="462915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8" o:spid="_x0000_s18" type="#_x0000_t75" style="width:328.50pt;height:364.50pt;mso-wrap-distance-left:0.00pt;mso-wrap-distance-top:0.00pt;mso-wrap-distance-right:0.00pt;mso-wrap-distance-bottom:0.00pt;z-index:1;" stroked="false">
                <v:imagedata r:id="rId29" o:title=""/>
                <o:lock v:ext="edit" rotation="t"/>
              </v:shape>
            </w:pict>
          </mc:Fallback>
        </mc:AlternateContent>
      </w:r>
      <w:r/>
    </w:p>
    <w:p>
      <w:pPr>
        <w:pStyle w:val="819"/>
        <w:numPr>
          <w:ilvl w:val="0"/>
          <w:numId w:val="43"/>
        </w:numPr>
        <w:pBdr/>
        <w:spacing/>
        <w:ind/>
        <w:rPr/>
      </w:pPr>
      <w:r>
        <w:t xml:space="preserve">Give the Datacenter a name and click OK.</w:t>
      </w:r>
      <w:r/>
    </w:p>
    <w:p>
      <w:pPr>
        <w:pBdr/>
        <w:spacing/>
        <w:ind/>
        <w:rPr/>
      </w:pPr>
      <w:r/>
      <w:r/>
    </w:p>
    <w:p>
      <w:pPr>
        <w:pStyle w:val="828"/>
        <w:pBdr/>
        <w:spacing/>
        <w:ind/>
        <w:rPr/>
      </w:pPr>
      <w:r>
        <w:t xml:space="preserve">2.10  Adding an ESXi Host to vCenter</w:t>
      </w:r>
      <w:r/>
    </w:p>
    <w:p>
      <w:pPr>
        <w:pStyle w:val="819"/>
        <w:numPr>
          <w:ilvl w:val="0"/>
          <w:numId w:val="44"/>
        </w:numPr>
        <w:pBdr/>
        <w:spacing/>
        <w:ind/>
        <w:rPr/>
      </w:pPr>
      <w:r>
        <w:t xml:space="preserve">Right-click the Datacenter and select Add Host.</w:t>
      </w:r>
      <w:r/>
    </w:p>
    <w:p>
      <w:pPr>
        <w:pStyle w:val="819"/>
        <w:numPr>
          <w:ilvl w:val="0"/>
          <w:numId w:val="44"/>
        </w:numPr>
        <w:pBdr/>
        <w:spacing/>
        <w:ind/>
        <w:rPr/>
      </w:pPr>
      <w:r>
        <w:t xml:space="preserve">In the wizard, configure the following pages:</w:t>
      </w:r>
      <w:r/>
    </w:p>
    <w:p>
      <w:pPr>
        <w:pStyle w:val="819"/>
        <w:numPr>
          <w:ilvl w:val="0"/>
          <w:numId w:val="2"/>
        </w:numPr>
        <w:pBdr/>
        <w:spacing/>
        <w:ind/>
        <w:rPr/>
      </w:pPr>
      <w:r>
        <w:rPr>
          <w:b/>
          <w:bCs/>
        </w:rPr>
        <w:t xml:space="preserve">Name and location: </w:t>
      </w:r>
      <w:r>
        <w:t xml:space="preserve">IP or FQDN of the ESXi host (e.g. 10.0.10.111) → Next.</w:t>
      </w:r>
      <w:r/>
    </w:p>
    <w:p>
      <w:pPr>
        <w:pStyle w:val="819"/>
        <w:numPr>
          <w:ilvl w:val="0"/>
          <w:numId w:val="2"/>
        </w:numPr>
        <w:pBdr/>
        <w:spacing/>
        <w:ind/>
        <w:rPr/>
      </w:pPr>
      <w:r>
        <w:rPr>
          <w:b/>
          <w:bCs/>
        </w:rPr>
        <w:t xml:space="preserve">Connection settings: </w:t>
      </w:r>
      <w:r>
        <w:t xml:space="preserve">user </w:t>
      </w:r>
      <w:r>
        <w:rPr>
          <w:rFonts w:ascii="Consolas" w:hAnsi="Consolas" w:eastAsia="Consolas" w:cs="Consolas"/>
          <w:sz w:val="22"/>
          <w:szCs w:val="22"/>
        </w:rPr>
        <w:t xml:space="preserve">root</w:t>
      </w:r>
      <w:r>
        <w:t xml:space="preserve"> and the ESXi root password → Next.</w:t>
      </w:r>
      <w:r/>
    </w:p>
    <w:p>
      <w:pPr>
        <w:pStyle w:val="819"/>
        <w:numPr>
          <w:ilvl w:val="0"/>
          <w:numId w:val="2"/>
        </w:numPr>
        <w:pBdr/>
        <w:spacing/>
        <w:ind/>
        <w:rPr/>
      </w:pPr>
      <w:r>
        <w:rPr>
          <w:b/>
          <w:bCs/>
        </w:rPr>
        <w:t xml:space="preserve">Security Alert: </w:t>
      </w:r>
      <w:r>
        <w:t xml:space="preserve">Accept the host certificate → Yes.</w:t>
      </w:r>
      <w:r/>
    </w:p>
    <w:p>
      <w:pPr>
        <w:pStyle w:val="819"/>
        <w:numPr>
          <w:ilvl w:val="0"/>
          <w:numId w:val="2"/>
        </w:numPr>
        <w:pBdr/>
        <w:spacing/>
        <w:ind/>
        <w:rPr/>
      </w:pPr>
      <w:r>
        <w:rPr>
          <w:b/>
          <w:bCs/>
        </w:rPr>
        <w:t xml:space="preserve">Host summary: </w:t>
      </w:r>
      <w:r>
        <w:t xml:space="preserve">Verify and click Next.</w:t>
      </w:r>
      <w:r/>
    </w:p>
    <w:p>
      <w:pPr>
        <w:pStyle w:val="819"/>
        <w:numPr>
          <w:ilvl w:val="0"/>
          <w:numId w:val="2"/>
        </w:numPr>
        <w:pBdr/>
        <w:spacing/>
        <w:ind/>
        <w:rPr/>
      </w:pPr>
      <w:r>
        <w:rPr>
          <w:b/>
          <w:bCs/>
        </w:rPr>
        <w:t xml:space="preserve">Assign license: </w:t>
      </w:r>
      <w:r>
        <w:t xml:space="preserve">Keep the Evaluation license → Next.</w:t>
      </w:r>
      <w:r/>
    </w:p>
    <w:p>
      <w:pPr>
        <w:pStyle w:val="819"/>
        <w:numPr>
          <w:ilvl w:val="0"/>
          <w:numId w:val="2"/>
        </w:numPr>
        <w:pBdr/>
        <w:spacing/>
        <w:ind/>
        <w:rPr/>
      </w:pPr>
      <w:r>
        <w:rPr>
          <w:b/>
          <w:bCs/>
        </w:rPr>
        <w:t xml:space="preserve">Lockdown mode: </w:t>
      </w:r>
      <w:r>
        <w:t xml:space="preserve">Disabled → Next.</w:t>
      </w:r>
      <w:r/>
    </w:p>
    <w:p>
      <w:pPr>
        <w:pStyle w:val="819"/>
        <w:numPr>
          <w:ilvl w:val="0"/>
          <w:numId w:val="2"/>
        </w:numPr>
        <w:pBdr/>
        <w:spacing/>
        <w:ind/>
        <w:rPr/>
      </w:pPr>
      <w:r>
        <w:rPr>
          <w:b/>
          <w:bCs/>
        </w:rPr>
        <w:t xml:space="preserve">VM location: </w:t>
      </w:r>
      <w:r>
        <w:t xml:space="preserve">Choose the Datacenter → Next.</w:t>
      </w:r>
      <w:r/>
    </w:p>
    <w:p>
      <w:pPr>
        <w:pStyle w:val="819"/>
        <w:numPr>
          <w:ilvl w:val="0"/>
          <w:numId w:val="2"/>
        </w:numPr>
        <w:pBdr/>
        <w:spacing/>
        <w:ind/>
        <w:rPr/>
      </w:pPr>
      <w:r>
        <w:rPr>
          <w:b/>
          <w:bCs/>
        </w:rPr>
        <w:t xml:space="preserve">Ready to complete: </w:t>
      </w:r>
      <w:r>
        <w:t xml:space="preserve">Click Finish.</w:t>
      </w:r>
      <w:r/>
    </w:p>
    <w:p>
      <w:pPr>
        <w:pBdr/>
        <w:spacing/>
        <w:ind/>
        <w:rPr/>
      </w:pPr>
      <w:r/>
      <w:r/>
    </w:p>
    <w:p>
      <w:pPr>
        <w:pStyle w:val="828"/>
        <w:pBdr/>
        <w:spacing/>
        <w:ind/>
        <w:rPr/>
      </w:pPr>
      <w:r>
        <w:t xml:space="preserve">2.11  Uploading an ISO via the vSphere Client</w:t>
      </w:r>
      <w:r/>
    </w:p>
    <w:p>
      <w:pPr>
        <w:pStyle w:val="819"/>
        <w:numPr>
          <w:ilvl w:val="0"/>
          <w:numId w:val="45"/>
        </w:numPr>
        <w:pBdr/>
        <w:spacing/>
        <w:ind/>
        <w:rPr/>
      </w:pPr>
      <w:r>
        <w:t xml:space="preserve">Expand </w:t>
      </w:r>
      <w:r>
        <w:rPr>
          <w:b/>
          <w:bCs/>
        </w:rPr>
        <w:t xml:space="preserve">Datacenter → datastore1</w:t>
      </w:r>
      <w:r>
        <w:t xml:space="preserve"> in the inventory.</w:t>
      </w:r>
      <w:r/>
    </w:p>
    <w:p>
      <w:pPr>
        <w:pStyle w:val="819"/>
        <w:numPr>
          <w:ilvl w:val="0"/>
          <w:numId w:val="45"/>
        </w:numPr>
        <w:pBdr/>
        <w:spacing/>
        <w:ind/>
        <w:rPr/>
      </w:pPr>
      <w:r>
        <w:t xml:space="preserve">Click Upload Files and select the ISO image to upload.</w:t>
      </w:r>
      <w:r/>
    </w:p>
    <w:p>
      <w:pPr>
        <w:pBdr/>
        <w:spacing/>
        <w:ind/>
        <w:rPr/>
      </w:pPr>
      <w:r/>
      <w:r/>
    </w:p>
    <w:p>
      <w:pPr>
        <w:pStyle w:val="828"/>
        <w:pBdr/>
        <w:spacing/>
        <w:ind/>
        <w:rPr/>
      </w:pPr>
      <w:r>
        <w:t xml:space="preserve">2.12  Creating a VM via the vSphere Client</w:t>
      </w:r>
      <w:r/>
    </w:p>
    <w:p>
      <w:pPr>
        <w:pStyle w:val="819"/>
        <w:numPr>
          <w:ilvl w:val="0"/>
          <w:numId w:val="46"/>
        </w:numPr>
        <w:pBdr/>
        <w:spacing/>
        <w:ind/>
        <w:rPr/>
      </w:pPr>
      <w:r>
        <w:t xml:space="preserve">In the navigation bar, switch to </w:t>
      </w:r>
      <w:r>
        <w:rPr>
          <w:b/>
          <w:bCs/>
        </w:rPr>
        <w:t xml:space="preserve">Hosts and Clusters</w:t>
      </w:r>
      <w:r>
        <w:t xml:space="preserve"> (the first icon).</w:t>
      </w:r>
      <w:r/>
    </w:p>
    <w:p>
      <w:pPr>
        <w:pStyle w:val="819"/>
        <w:numPr>
          <w:ilvl w:val="0"/>
          <w:numId w:val="46"/>
        </w:numPr>
        <w:pBdr/>
        <w:spacing/>
        <w:ind/>
        <w:rPr/>
      </w:pPr>
      <w:r>
        <w:t xml:space="preserve">Right-click the IP address of the desired ESXi host and select New Virtual Machine.</w:t>
      </w:r>
      <w:r/>
    </w:p>
    <w:p>
      <w:pPr>
        <w:pBdr/>
        <w:spacing w:after="120" w:before="120"/>
        <w:ind/>
        <w:jc w:val="center"/>
        <w:rPr/>
      </w:pPr>
      <w:r>
        <mc:AlternateContent>
          <mc:Choice Requires="wpg">
            <w:drawing>
              <wp:inline xmlns:wp="http://schemas.openxmlformats.org/drawingml/2006/wordprocessingDrawing" distT="0" distB="0" distL="0" distR="0">
                <wp:extent cx="4552950" cy="3286125"/>
                <wp:effectExtent l="0" t="0" r="0" b="0"/>
                <wp:docPr id="2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pic:cNvPicPr>
                        <pic:nvPr/>
                      </pic:nvPicPr>
                      <pic:blipFill rotWithShape="1">
                        <a:blip r:embed="rId30"/>
                        <a:stretch/>
                      </pic:blipFill>
                      <pic:spPr bwMode="auto">
                        <a:xfrm>
                          <a:off x="0" y="0"/>
                          <a:ext cx="4552950" cy="328612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9" o:spid="_x0000_s19" type="#_x0000_t75" style="width:358.50pt;height:258.75pt;mso-wrap-distance-left:0.00pt;mso-wrap-distance-top:0.00pt;mso-wrap-distance-right:0.00pt;mso-wrap-distance-bottom:0.00pt;z-index:1;" stroked="false">
                <v:imagedata r:id="rId30" o:title=""/>
                <o:lock v:ext="edit" rotation="t"/>
              </v:shape>
            </w:pict>
          </mc:Fallback>
        </mc:AlternateContent>
      </w:r>
      <w:r/>
    </w:p>
    <w:p>
      <w:pPr>
        <w:pStyle w:val="819"/>
        <w:numPr>
          <w:ilvl w:val="0"/>
          <w:numId w:val="46"/>
        </w:numPr>
        <w:pBdr/>
        <w:spacing/>
        <w:ind/>
        <w:rPr/>
      </w:pPr>
      <w:r>
        <w:t xml:space="preserve">Step through the wizard:</w:t>
      </w:r>
      <w:r/>
    </w:p>
    <w:p>
      <w:pPr>
        <w:pStyle w:val="819"/>
        <w:numPr>
          <w:ilvl w:val="0"/>
          <w:numId w:val="2"/>
        </w:numPr>
        <w:pBdr/>
        <w:spacing/>
        <w:ind/>
        <w:rPr/>
      </w:pPr>
      <w:r>
        <w:rPr>
          <w:b/>
          <w:bCs/>
        </w:rPr>
        <w:t xml:space="preserve">Select a creation type: </w:t>
      </w:r>
      <w:r>
        <w:t xml:space="preserve">Create a new virtual machine → Next.</w:t>
      </w:r>
      <w:r/>
    </w:p>
    <w:p>
      <w:pPr>
        <w:pStyle w:val="819"/>
        <w:numPr>
          <w:ilvl w:val="0"/>
          <w:numId w:val="2"/>
        </w:numPr>
        <w:pBdr/>
        <w:spacing/>
        <w:ind/>
        <w:rPr/>
      </w:pPr>
      <w:r>
        <w:rPr>
          <w:b/>
          <w:bCs/>
        </w:rPr>
        <w:t xml:space="preserve">Select a name and folder: </w:t>
      </w:r>
      <w:r>
        <w:t xml:space="preserve">Name (e.g. </w:t>
      </w:r>
      <w:r>
        <w:rPr>
          <w:rFonts w:ascii="Consolas" w:hAnsi="Consolas" w:eastAsia="Consolas" w:cs="Consolas"/>
          <w:sz w:val="22"/>
          <w:szCs w:val="22"/>
        </w:rPr>
        <w:t xml:space="preserve">ubuntu-server-01</w:t>
      </w:r>
      <w:r>
        <w:t xml:space="preserve">), location is the existing Datacenter → Next.</w:t>
      </w:r>
      <w:r/>
    </w:p>
    <w:p>
      <w:pPr>
        <w:pStyle w:val="819"/>
        <w:numPr>
          <w:ilvl w:val="0"/>
          <w:numId w:val="2"/>
        </w:numPr>
        <w:pBdr/>
        <w:spacing/>
        <w:ind/>
        <w:rPr/>
      </w:pPr>
      <w:r>
        <w:rPr>
          <w:b/>
          <w:bCs/>
        </w:rPr>
        <w:t xml:space="preserve">Select a compute resource: </w:t>
      </w:r>
      <w:r>
        <w:t xml:space="preserve">Pre-selected ESXi host → Next.</w:t>
      </w:r>
      <w:r/>
    </w:p>
    <w:p>
      <w:pPr>
        <w:pStyle w:val="819"/>
        <w:numPr>
          <w:ilvl w:val="0"/>
          <w:numId w:val="2"/>
        </w:numPr>
        <w:pBdr/>
        <w:spacing/>
        <w:ind/>
        <w:rPr/>
      </w:pPr>
      <w:r>
        <w:rPr>
          <w:b/>
          <w:bCs/>
        </w:rPr>
        <w:t xml:space="preserve">Select storage: </w:t>
      </w:r>
      <w:r>
        <w:t xml:space="preserve">Choose the datastore → Next.</w:t>
      </w:r>
      <w:r/>
    </w:p>
    <w:p>
      <w:pPr>
        <w:pStyle w:val="819"/>
        <w:numPr>
          <w:ilvl w:val="0"/>
          <w:numId w:val="2"/>
        </w:numPr>
        <w:pBdr/>
        <w:spacing/>
        <w:ind/>
        <w:rPr/>
      </w:pPr>
      <w:r>
        <w:rPr>
          <w:b/>
          <w:bCs/>
        </w:rPr>
        <w:t xml:space="preserve">Select compatibility: </w:t>
      </w:r>
      <w:r>
        <w:t xml:space="preserve">Leave at the default (e.g. ESXi 8.0 U2 and later) → Next.</w:t>
      </w:r>
      <w:r/>
    </w:p>
    <w:p>
      <w:pPr>
        <w:pStyle w:val="819"/>
        <w:numPr>
          <w:ilvl w:val="0"/>
          <w:numId w:val="2"/>
        </w:numPr>
        <w:pBdr/>
        <w:spacing/>
        <w:ind/>
        <w:rPr/>
      </w:pPr>
      <w:r>
        <w:rPr>
          <w:b/>
          <w:bCs/>
        </w:rPr>
        <w:t xml:space="preserve">Select a guest OS: </w:t>
      </w:r>
      <w:r>
        <w:t xml:space="preserve">Family Linux, Version Ubuntu Linux (64-bit) → Next.</w:t>
      </w:r>
      <w:r/>
    </w:p>
    <w:p>
      <w:pPr>
        <w:pBdr/>
        <w:spacing/>
        <w:ind/>
        <w:rPr/>
      </w:pPr>
      <w:r/>
      <w:r/>
    </w:p>
    <w:p>
      <w:pPr>
        <w:pStyle w:val="830"/>
        <w:pBdr/>
        <w:spacing/>
        <w:ind/>
        <w:rPr/>
      </w:pPr>
      <w:r>
        <w:t xml:space="preserve">Customize hardware (the critical step)</w:t>
      </w:r>
      <w:r/>
    </w:p>
    <w:p>
      <w:pPr>
        <w:pStyle w:val="819"/>
        <w:numPr>
          <w:ilvl w:val="0"/>
          <w:numId w:val="2"/>
        </w:numPr>
        <w:pBdr/>
        <w:spacing/>
        <w:ind/>
        <w:rPr/>
      </w:pPr>
      <w:r>
        <w:rPr>
          <w:b/>
          <w:bCs/>
        </w:rPr>
        <w:t xml:space="preserve">CPU: </w:t>
      </w:r>
      <w:r>
        <w:t xml:space="preserve">2</w:t>
      </w:r>
      <w:r/>
    </w:p>
    <w:p>
      <w:pPr>
        <w:pStyle w:val="819"/>
        <w:numPr>
          <w:ilvl w:val="0"/>
          <w:numId w:val="2"/>
        </w:numPr>
        <w:pBdr/>
        <w:spacing/>
        <w:ind/>
        <w:rPr/>
      </w:pPr>
      <w:r>
        <w:rPr>
          <w:b/>
          <w:bCs/>
        </w:rPr>
        <w:t xml:space="preserve">Memory: </w:t>
      </w:r>
      <w:r>
        <w:t xml:space="preserve">4096 MB (4 GB)</w:t>
      </w:r>
      <w:r/>
    </w:p>
    <w:p>
      <w:pPr>
        <w:pStyle w:val="819"/>
        <w:numPr>
          <w:ilvl w:val="0"/>
          <w:numId w:val="2"/>
        </w:numPr>
        <w:pBdr/>
        <w:spacing/>
        <w:ind/>
        <w:rPr/>
      </w:pPr>
      <w:r>
        <w:rPr>
          <w:b/>
          <w:bCs/>
        </w:rPr>
        <w:t xml:space="preserve">New Hard disk: </w:t>
      </w:r>
      <w:r>
        <w:t xml:space="preserve">40 GB, expand the disk options and set Disk Provisioning to Thin Provision (to save space).</w:t>
      </w:r>
      <w:r/>
    </w:p>
    <w:p>
      <w:pPr>
        <w:pStyle w:val="819"/>
        <w:numPr>
          <w:ilvl w:val="0"/>
          <w:numId w:val="2"/>
        </w:numPr>
        <w:pBdr/>
        <w:spacing/>
        <w:ind/>
        <w:rPr/>
      </w:pPr>
      <w:r>
        <w:rPr>
          <w:b/>
          <w:bCs/>
        </w:rPr>
        <w:t xml:space="preserve">New CD/DVD Drive: </w:t>
      </w:r>
      <w:r>
        <w:t xml:space="preserve">Click the dropdown and select Datastore ISO File, then browse to the ISOs folder and choose the Ubuntu ISO. Check "Connect At Power On" — otherwise the VM will not boot from the ISO.</w:t>
      </w:r>
      <w:r/>
    </w:p>
    <w:p>
      <w:pPr>
        <w:pStyle w:val="819"/>
        <w:numPr>
          <w:ilvl w:val="0"/>
          <w:numId w:val="47"/>
        </w:numPr>
        <w:pBdr/>
        <w:spacing/>
        <w:ind/>
        <w:rPr/>
      </w:pPr>
      <w:r>
        <w:t xml:space="preserve">Ready to complete: review all settings and click Finish.</w:t>
      </w:r>
      <w:r/>
    </w:p>
    <w:p>
      <w:pPr>
        <w:pBdr/>
        <w:spacing w:after="120" w:before="120"/>
        <w:ind/>
        <w:jc w:val="center"/>
        <w:rPr/>
      </w:pPr>
      <w:r>
        <mc:AlternateContent>
          <mc:Choice Requires="wpg">
            <w:drawing>
              <wp:inline xmlns:wp="http://schemas.openxmlformats.org/drawingml/2006/wordprocessingDrawing" distT="0" distB="0" distL="0" distR="0">
                <wp:extent cx="5143500" cy="1362075"/>
                <wp:effectExtent l="0" t="0" r="0" b="0"/>
                <wp:docPr id="2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pic:cNvPicPr>
                        <pic:nvPr/>
                      </pic:nvPicPr>
                      <pic:blipFill rotWithShape="1">
                        <a:blip r:embed="rId31"/>
                        <a:stretch/>
                      </pic:blipFill>
                      <pic:spPr bwMode="auto">
                        <a:xfrm>
                          <a:off x="0" y="0"/>
                          <a:ext cx="5143500" cy="136207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0" o:spid="_x0000_s20" type="#_x0000_t75" style="width:405.00pt;height:107.25pt;mso-wrap-distance-left:0.00pt;mso-wrap-distance-top:0.00pt;mso-wrap-distance-right:0.00pt;mso-wrap-distance-bottom:0.00pt;z-index:1;" stroked="false">
                <v:imagedata r:id="rId31" o:title=""/>
                <o:lock v:ext="edit" rotation="t"/>
              </v:shape>
            </w:pict>
          </mc:Fallback>
        </mc:AlternateContent>
      </w:r>
      <w:r/>
    </w:p>
    <w:p>
      <w:pPr>
        <w:pBdr/>
        <w:spacing/>
        <w:ind/>
        <w:rPr/>
      </w:pPr>
      <w:r/>
      <w:r/>
    </w:p>
    <w:p>
      <w:pPr>
        <w:pStyle w:val="828"/>
        <w:pBdr/>
        <w:spacing/>
        <w:ind/>
        <w:rPr/>
      </w:pPr>
      <w:r>
        <w:t xml:space="preserve">2.13  Changing VM Hardware (vSphere Client)</w:t>
      </w:r>
      <w:r/>
    </w:p>
    <w:p>
      <w:pPr>
        <w:pStyle w:val="819"/>
        <w:numPr>
          <w:ilvl w:val="0"/>
          <w:numId w:val="48"/>
        </w:numPr>
        <w:pBdr/>
        <w:spacing/>
        <w:ind/>
        <w:rPr/>
      </w:pPr>
      <w:r>
        <w:t xml:space="preserve">Shut down the VM (</w:t>
      </w:r>
      <w:r>
        <w:rPr>
          <w:b/>
          <w:bCs/>
        </w:rPr>
        <w:t xml:space="preserve">Right-click VM → Power → Power off</w:t>
      </w:r>
      <w:r>
        <w:t xml:space="preserve">).</w:t>
      </w:r>
      <w:r/>
    </w:p>
    <w:p>
      <w:pPr>
        <w:pStyle w:val="819"/>
        <w:numPr>
          <w:ilvl w:val="0"/>
          <w:numId w:val="48"/>
        </w:numPr>
        <w:pBdr/>
        <w:spacing/>
        <w:ind/>
        <w:rPr/>
      </w:pPr>
      <w:r>
        <w:t xml:space="preserve">Right-click the VM again and choose </w:t>
      </w:r>
      <w:r>
        <w:rPr>
          <w:b/>
          <w:bCs/>
        </w:rPr>
        <w:t xml:space="preserve">Edit Settings</w:t>
      </w:r>
      <w:r>
        <w:t xml:space="preserve">.</w:t>
      </w:r>
      <w:r/>
    </w:p>
    <w:p>
      <w:pPr>
        <w:pStyle w:val="819"/>
        <w:numPr>
          <w:ilvl w:val="0"/>
          <w:numId w:val="48"/>
        </w:numPr>
        <w:pBdr/>
        <w:spacing/>
        <w:ind/>
        <w:rPr/>
      </w:pPr>
      <w:r>
        <w:t xml:space="preserve">Adjust the hardware as required and click OK.</w:t>
      </w:r>
      <w:r/>
    </w:p>
    <w:p>
      <w:pPr>
        <w:pBdr/>
        <w:spacing w:after="120" w:before="120"/>
        <w:ind/>
        <w:jc w:val="center"/>
        <w:rPr/>
      </w:pPr>
      <w:r>
        <mc:AlternateContent>
          <mc:Choice Requires="wpg">
            <w:drawing>
              <wp:inline xmlns:wp="http://schemas.openxmlformats.org/drawingml/2006/wordprocessingDrawing" distT="0" distB="0" distL="0" distR="0">
                <wp:extent cx="5143500" cy="4143375"/>
                <wp:effectExtent l="0" t="0" r="0" b="0"/>
                <wp:docPr id="2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pic:cNvPicPr>
                        <pic:nvPr/>
                      </pic:nvPicPr>
                      <pic:blipFill rotWithShape="1">
                        <a:blip r:embed="rId32"/>
                        <a:stretch/>
                      </pic:blipFill>
                      <pic:spPr bwMode="auto">
                        <a:xfrm>
                          <a:off x="0" y="0"/>
                          <a:ext cx="5143500" cy="414337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1" o:spid="_x0000_s21" type="#_x0000_t75" style="width:405.00pt;height:326.25pt;mso-wrap-distance-left:0.00pt;mso-wrap-distance-top:0.00pt;mso-wrap-distance-right:0.00pt;mso-wrap-distance-bottom:0.00pt;z-index:1;" stroked="false">
                <v:imagedata r:id="rId32" o:title=""/>
                <o:lock v:ext="edit" rotation="t"/>
              </v:shape>
            </w:pict>
          </mc:Fallback>
        </mc:AlternateContent>
      </w:r>
      <w:r/>
    </w:p>
    <w:p>
      <w:pPr>
        <w:pBdr>
          <w:top w:val="single" w:color="2e74b5" w:sz="6" w:space="0"/>
          <w:left w:val="single" w:color="2e74b5" w:sz="18" w:space="0"/>
          <w:bottom w:val="single" w:color="2e74b5" w:sz="6" w:space="0"/>
          <w:right w:val="single" w:color="2e74b5" w:sz="6" w:space="0"/>
        </w:pBdr>
        <w:shd w:val="clear" w:color="auto" w:fill="eaf1fb"/>
        <w:spacing w:after="150" w:before="150"/>
        <w:ind/>
        <w:rPr/>
      </w:pPr>
      <w:r>
        <w:rPr>
          <w:b/>
          <w:bCs/>
          <w:color w:val="1f3864"/>
        </w:rPr>
        <w:t xml:space="preserve">Hot-plug support: </w:t>
      </w:r>
      <w:r>
        <w:t xml:space="preserve">CPU and RAM can be increased while the VM is running, provided that "CPU Hot Plug" and "Memory Hot Plug" are enabled in the VM's Options tab. Other hardware components generally require the VM to be powered off.</w:t>
      </w:r>
      <w:r/>
    </w:p>
    <w:p>
      <w:pPr>
        <w:pBdr/>
        <w:spacing/>
        <w:ind/>
        <w:rPr/>
      </w:pPr>
      <w:r/>
      <w:r/>
    </w:p>
    <w:p>
      <w:pPr>
        <w:pStyle w:val="828"/>
        <w:pBdr/>
        <w:spacing/>
        <w:ind/>
        <w:rPr/>
      </w:pPr>
      <w:r>
        <w:t xml:space="preserve">2.14  Cloning a VM (vSphere Client)</w:t>
      </w:r>
      <w:r/>
    </w:p>
    <w:p>
      <w:pPr>
        <w:pStyle w:val="819"/>
        <w:numPr>
          <w:ilvl w:val="0"/>
          <w:numId w:val="49"/>
        </w:numPr>
        <w:pBdr/>
        <w:spacing/>
        <w:ind/>
        <w:rPr/>
      </w:pPr>
      <w:r>
        <w:t xml:space="preserve">Right-click </w:t>
      </w:r>
      <w:r>
        <w:rPr>
          <w:rFonts w:ascii="Consolas" w:hAnsi="Consolas" w:eastAsia="Consolas" w:cs="Consolas"/>
          <w:sz w:val="22"/>
          <w:szCs w:val="22"/>
        </w:rPr>
        <w:t xml:space="preserve">ubuntu-server-01</w:t>
      </w:r>
      <w:r>
        <w:t xml:space="preserve"> → </w:t>
      </w:r>
      <w:r>
        <w:rPr>
          <w:b/>
          <w:bCs/>
        </w:rPr>
        <w:t xml:space="preserve">Clone → Clone to Virtual Machine…</w:t>
      </w:r>
      <w:r>
        <w:t xml:space="preserve">.</w:t>
      </w:r>
      <w:r/>
    </w:p>
    <w:p>
      <w:pPr>
        <w:pStyle w:val="819"/>
        <w:numPr>
          <w:ilvl w:val="0"/>
          <w:numId w:val="49"/>
        </w:numPr>
        <w:pBdr/>
        <w:spacing/>
        <w:ind/>
        <w:rPr/>
      </w:pPr>
      <w:r>
        <w:t xml:space="preserve">Step through the wizard:</w:t>
      </w:r>
      <w:r/>
    </w:p>
    <w:p>
      <w:pPr>
        <w:pStyle w:val="819"/>
        <w:numPr>
          <w:ilvl w:val="0"/>
          <w:numId w:val="2"/>
        </w:numPr>
        <w:pBdr/>
        <w:spacing/>
        <w:ind/>
        <w:rPr/>
      </w:pPr>
      <w:r>
        <w:rPr>
          <w:b/>
          <w:bCs/>
        </w:rPr>
        <w:t xml:space="preserve">Select a name and folder: </w:t>
      </w:r>
      <w:r>
        <w:t xml:space="preserve">Name (e.g. </w:t>
      </w:r>
      <w:r>
        <w:rPr>
          <w:rFonts w:ascii="Consolas" w:hAnsi="Consolas" w:eastAsia="Consolas" w:cs="Consolas"/>
          <w:sz w:val="22"/>
          <w:szCs w:val="22"/>
        </w:rPr>
        <w:t xml:space="preserve">ubuntu-server-01-clone</w:t>
      </w:r>
      <w:r>
        <w:t xml:space="preserve">), Location: the Datacenter → Next.</w:t>
      </w:r>
      <w:r/>
    </w:p>
    <w:p>
      <w:pPr>
        <w:pStyle w:val="819"/>
        <w:numPr>
          <w:ilvl w:val="0"/>
          <w:numId w:val="2"/>
        </w:numPr>
        <w:pBdr/>
        <w:spacing/>
        <w:ind/>
        <w:rPr/>
      </w:pPr>
      <w:r>
        <w:rPr>
          <w:b/>
          <w:bCs/>
        </w:rPr>
        <w:t xml:space="preserve">Select a compute resource: </w:t>
      </w:r>
      <w:r>
        <w:t xml:space="preserve">Choose the ESXi host → Next.</w:t>
      </w:r>
      <w:r/>
    </w:p>
    <w:p>
      <w:pPr>
        <w:pStyle w:val="819"/>
        <w:numPr>
          <w:ilvl w:val="0"/>
          <w:numId w:val="2"/>
        </w:numPr>
        <w:pBdr/>
        <w:spacing/>
        <w:ind/>
        <w:rPr/>
      </w:pPr>
      <w:r>
        <w:rPr>
          <w:b/>
          <w:bCs/>
        </w:rPr>
        <w:t xml:space="preserve">Select storage: </w:t>
      </w:r>
      <w:r>
        <w:t xml:space="preserve">Choose the datastore → Next.</w:t>
      </w:r>
      <w:r/>
    </w:p>
    <w:p>
      <w:pPr>
        <w:pBdr/>
        <w:spacing/>
        <w:ind/>
        <w:rPr/>
      </w:pPr>
      <w:r/>
      <w:r/>
    </w:p>
    <w:p>
      <w:pPr>
        <w:pStyle w:val="830"/>
        <w:pBdr/>
        <w:spacing/>
        <w:ind/>
        <w:rPr/>
      </w:pPr>
      <w:r>
        <w:t xml:space="preserve">Select clone options</w:t>
      </w:r>
      <w:r/>
    </w:p>
    <w:p>
      <w:pPr>
        <w:pBdr/>
        <w:spacing w:after="120"/>
        <w:ind/>
        <w:rPr/>
      </w:pPr>
      <w:r>
        <w:t xml:space="preserve">Three checkboxes are available:</w:t>
      </w:r>
      <w:r/>
    </w:p>
    <w:p>
      <w:pPr>
        <w:pStyle w:val="819"/>
        <w:numPr>
          <w:ilvl w:val="0"/>
          <w:numId w:val="2"/>
        </w:numPr>
        <w:pBdr/>
        <w:spacing/>
        <w:ind/>
        <w:rPr/>
      </w:pPr>
      <w:r>
        <w:rPr>
          <w:b/>
          <w:bCs/>
        </w:rPr>
        <w:t xml:space="preserve">Customize the operating system</w:t>
      </w:r>
      <w:r>
        <w:t xml:space="preserve"> — leave off. This would re-personalise hostname / IP / SID and requires a Customization Specification.</w:t>
      </w:r>
      <w:r/>
    </w:p>
    <w:p>
      <w:pPr>
        <w:pStyle w:val="819"/>
        <w:numPr>
          <w:ilvl w:val="0"/>
          <w:numId w:val="2"/>
        </w:numPr>
        <w:pBdr/>
        <w:spacing/>
        <w:ind/>
        <w:rPr/>
      </w:pPr>
      <w:r>
        <w:rPr>
          <w:b/>
          <w:bCs/>
        </w:rPr>
        <w:t xml:space="preserve">Customize this virtual machine's hardware</w:t>
      </w:r>
      <w:r>
        <w:t xml:space="preserve"> — leave off. Use the standard Edit Settings dialog afterwards if needed.</w:t>
      </w:r>
      <w:r/>
    </w:p>
    <w:p>
      <w:pPr>
        <w:pStyle w:val="819"/>
        <w:numPr>
          <w:ilvl w:val="0"/>
          <w:numId w:val="2"/>
        </w:numPr>
        <w:pBdr/>
        <w:spacing/>
        <w:ind/>
        <w:rPr/>
      </w:pPr>
      <w:r>
        <w:rPr>
          <w:b/>
          <w:bCs/>
        </w:rPr>
        <w:t xml:space="preserve">Power on virtual machine after creation</w:t>
      </w:r>
      <w:r>
        <w:t xml:space="preserve"> — leave off for the first test.</w:t>
      </w:r>
      <w:r/>
    </w:p>
    <w:p>
      <w:pPr>
        <w:pStyle w:val="819"/>
        <w:numPr>
          <w:ilvl w:val="0"/>
          <w:numId w:val="50"/>
        </w:numPr>
        <w:pBdr/>
        <w:spacing/>
        <w:ind/>
        <w:rPr/>
      </w:pPr>
      <w:r>
        <w:t xml:space="preserve">Ready to complete: review and click Finish.</w:t>
      </w:r>
      <w:r/>
    </w:p>
    <w:p>
      <w:pPr>
        <w:pBdr/>
        <w:spacing w:after="120" w:before="120"/>
        <w:ind/>
        <w:jc w:val="center"/>
        <w:rPr/>
      </w:pPr>
      <w:r>
        <mc:AlternateContent>
          <mc:Choice Requires="wpg">
            <w:drawing>
              <wp:inline xmlns:wp="http://schemas.openxmlformats.org/drawingml/2006/wordprocessingDrawing" distT="0" distB="0" distL="0" distR="0">
                <wp:extent cx="3438525" cy="1066800"/>
                <wp:effectExtent l="0" t="0" r="0" b="0"/>
                <wp:docPr id="2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pic:cNvPicPr>
                        <pic:nvPr/>
                      </pic:nvPicPr>
                      <pic:blipFill rotWithShape="1">
                        <a:blip r:embed="rId33"/>
                        <a:stretch/>
                      </pic:blipFill>
                      <pic:spPr bwMode="auto">
                        <a:xfrm>
                          <a:off x="0" y="0"/>
                          <a:ext cx="3438525" cy="106680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2" o:spid="_x0000_s22" type="#_x0000_t75" style="width:270.75pt;height:84.00pt;mso-wrap-distance-left:0.00pt;mso-wrap-distance-top:0.00pt;mso-wrap-distance-right:0.00pt;mso-wrap-distance-bottom:0.00pt;z-index:1;" stroked="false">
                <v:imagedata r:id="rId33" o:title=""/>
                <o:lock v:ext="edit" rotation="t"/>
              </v:shape>
            </w:pict>
          </mc:Fallback>
        </mc:AlternateContent>
      </w:r>
      <w:r/>
    </w:p>
    <w:p>
      <w:pPr>
        <w:pBdr/>
        <w:spacing/>
        <w:ind/>
        <w:rPr/>
      </w:pPr>
      <w:r/>
      <w:r/>
    </w:p>
    <w:p>
      <w:pPr>
        <w:pStyle w:val="828"/>
        <w:pBdr/>
        <w:spacing/>
        <w:ind/>
        <w:rPr/>
      </w:pPr>
      <w:r>
        <w:t xml:space="preserve">2.15  Exporting a VM as OVF (vSphere Client)</w:t>
      </w:r>
      <w:r/>
    </w:p>
    <w:p>
      <w:pPr>
        <w:pStyle w:val="819"/>
        <w:numPr>
          <w:ilvl w:val="0"/>
          <w:numId w:val="51"/>
        </w:numPr>
        <w:pBdr/>
        <w:spacing/>
        <w:ind/>
        <w:rPr/>
      </w:pPr>
      <w:r>
        <w:t xml:space="preserve">Right-click the VM → </w:t>
      </w:r>
      <w:r>
        <w:rPr>
          <w:b/>
          <w:bCs/>
        </w:rPr>
        <w:t xml:space="preserve">Template → Export OVF Template…</w:t>
      </w:r>
      <w:r>
        <w:t xml:space="preserve">.</w:t>
      </w:r>
      <w:r/>
    </w:p>
    <w:p>
      <w:pPr>
        <w:pStyle w:val="819"/>
        <w:numPr>
          <w:ilvl w:val="0"/>
          <w:numId w:val="51"/>
        </w:numPr>
        <w:pBdr/>
        <w:spacing/>
        <w:ind/>
        <w:rPr/>
      </w:pPr>
      <w:r>
        <w:t xml:space="preserve">Enter a name in the popup and click OK.</w:t>
      </w:r>
      <w:r/>
    </w:p>
    <w:p>
      <w:pPr>
        <w:pBdr/>
        <w:spacing w:after="120" w:before="120"/>
        <w:ind/>
        <w:jc w:val="center"/>
        <w:rPr/>
      </w:pPr>
      <w:r>
        <mc:AlternateContent>
          <mc:Choice Requires="wpg">
            <w:drawing>
              <wp:inline xmlns:wp="http://schemas.openxmlformats.org/drawingml/2006/wordprocessingDrawing" distT="0" distB="0" distL="0" distR="0">
                <wp:extent cx="4067175" cy="2495550"/>
                <wp:effectExtent l="0" t="0" r="0" b="0"/>
                <wp:docPr id="2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pic:cNvPicPr>
                        <pic:nvPr/>
                      </pic:nvPicPr>
                      <pic:blipFill rotWithShape="1">
                        <a:blip r:embed="rId34"/>
                        <a:stretch/>
                      </pic:blipFill>
                      <pic:spPr bwMode="auto">
                        <a:xfrm>
                          <a:off x="0" y="0"/>
                          <a:ext cx="4067175" cy="249555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3" o:spid="_x0000_s23" type="#_x0000_t75" style="width:320.25pt;height:196.50pt;mso-wrap-distance-left:0.00pt;mso-wrap-distance-top:0.00pt;mso-wrap-distance-right:0.00pt;mso-wrap-distance-bottom:0.00pt;z-index:1;" stroked="false">
                <v:imagedata r:id="rId34" o:title=""/>
                <o:lock v:ext="edit" rotation="t"/>
              </v:shape>
            </w:pict>
          </mc:Fallback>
        </mc:AlternateContent>
      </w:r>
      <w:r/>
    </w:p>
    <w:p>
      <w:pPr>
        <w:pBdr>
          <w:top w:val="single" w:color="d9822b" w:sz="6" w:space="0"/>
          <w:left w:val="single" w:color="d9822b" w:sz="18" w:space="0"/>
          <w:bottom w:val="single" w:color="d9822b" w:sz="6" w:space="0"/>
          <w:right w:val="single" w:color="d9822b" w:sz="6" w:space="0"/>
        </w:pBdr>
        <w:shd w:val="clear" w:color="auto" w:fill="fdf2e9"/>
        <w:spacing w:after="150" w:before="150"/>
        <w:ind/>
        <w:rPr/>
      </w:pPr>
      <w:r>
        <w:rPr>
          <w:b/>
          <w:bCs/>
          <w:color w:val="8b5a1b"/>
        </w:rPr>
        <w:t xml:space="preserve">Browser popups: </w:t>
      </w:r>
      <w:r>
        <w:t xml:space="preserve">The export downloads several files via the browser. Make sure popups are allowed for the vCenter URL, and keep the browser tab open until the .ovf, .mf, and .vmdk files have all finished downloading.</w:t>
      </w:r>
      <w:r/>
    </w:p>
    <w:p>
      <w:pPr>
        <w:pBdr/>
        <w:spacing/>
        <w:ind/>
        <w:rPr/>
      </w:pPr>
      <w:r/>
      <w:r/>
    </w:p>
    <w:p>
      <w:pPr>
        <w:pStyle w:val="828"/>
        <w:pBdr/>
        <w:spacing/>
        <w:ind/>
        <w:rPr/>
      </w:pPr>
      <w:r>
        <w:t xml:space="preserve">2.16  Backing Up a VM via Script (ghettoVCB)</w:t>
      </w:r>
      <w:r/>
    </w:p>
    <w:p>
      <w:pPr>
        <w:pBdr/>
        <w:spacing w:after="120"/>
        <w:ind/>
        <w:rPr/>
      </w:pPr>
      <w:r>
        <w:t xml:space="preserve">The ghettoVCB script (created and maintained by William Lam) provides reliable VMware-aware VM backups directly from the ESXi shell. It uses native vSphere snapshots so that running VMs can be backed up without downtime.</w:t>
      </w:r>
      <w:r/>
    </w:p>
    <w:p>
      <w:pPr>
        <w:pStyle w:val="829"/>
        <w:pBdr/>
        <w:spacing/>
        <w:ind/>
        <w:rPr/>
      </w:pPr>
      <w:r>
        <w:t xml:space="preserve">Preparing the Script</w:t>
      </w:r>
      <w:r/>
    </w:p>
    <w:p>
      <w:pPr>
        <w:pStyle w:val="819"/>
        <w:numPr>
          <w:ilvl w:val="0"/>
          <w:numId w:val="52"/>
        </w:numPr>
        <w:pBdr/>
        <w:spacing/>
        <w:ind/>
        <w:rPr/>
      </w:pPr>
      <w:r>
        <w:t xml:space="preserve">Connect to the ESXi host via SSH as root.</w:t>
      </w:r>
      <w:r/>
    </w:p>
    <w:p>
      <w:pPr>
        <w:pStyle w:val="819"/>
        <w:numPr>
          <w:ilvl w:val="0"/>
          <w:numId w:val="52"/>
        </w:numPr>
        <w:pBdr/>
        <w:spacing/>
        <w:ind/>
        <w:rPr/>
      </w:pPr>
      <w:r>
        <w:t xml:space="preserve">Navigate to the datastore and create a working directory:</w:t>
      </w:r>
      <w:r/>
    </w:p>
    <w:p>
      <w:pPr>
        <w:pBdr>
          <w:top w:val="single" w:color="cccccc" w:sz="4" w:space="0"/>
          <w:left w:val="single" w:color="cccccc" w:sz="4" w:space="0"/>
          <w:bottom w:val="none" w:color="000000" w:sz="0" w:space="0"/>
          <w:right w:val="single" w:color="cccccc" w:sz="4" w:space="0"/>
        </w:pBdr>
        <w:shd w:val="clear" w:color="auto" w:fill="f2f2f2"/>
        <w:spacing w:after="0" w:before="100"/>
        <w:ind/>
        <w:rPr/>
      </w:pPr>
      <w:r>
        <w:rPr>
          <w:rFonts w:ascii="Consolas" w:hAnsi="Consolas" w:eastAsia="Consolas" w:cs="Consolas"/>
          <w:sz w:val="20"/>
          <w:szCs w:val="20"/>
        </w:rPr>
        <w:t xml:space="preserve">cd /vmfs/volumes/datastore1/</w:t>
      </w:r>
      <w:r/>
    </w:p>
    <w:p>
      <w:pPr>
        <w:pBdr>
          <w:top w:val="none" w:color="000000" w:sz="0" w:space="0"/>
          <w:left w:val="single" w:color="cccccc" w:sz="4" w:space="0"/>
          <w:bottom w:val="none" w:color="000000" w:sz="0" w:space="0"/>
          <w:right w:val="single" w:color="cccccc" w:sz="4" w:space="0"/>
        </w:pBdr>
        <w:shd w:val="clear" w:color="auto" w:fill="f2f2f2"/>
        <w:spacing w:after="0" w:before="0"/>
        <w:ind/>
        <w:rPr/>
      </w:pPr>
      <w:r>
        <w:rPr>
          <w:rFonts w:ascii="Consolas" w:hAnsi="Consolas" w:eastAsia="Consolas" w:cs="Consolas"/>
          <w:sz w:val="20"/>
          <w:szCs w:val="20"/>
        </w:rPr>
        <w:t xml:space="preserve">mkdir ghettoVCB</w:t>
      </w:r>
      <w:r/>
    </w:p>
    <w:p>
      <w:pPr>
        <w:pBdr>
          <w:top w:val="none" w:color="000000" w:sz="0" w:space="0"/>
          <w:left w:val="single" w:color="cccccc" w:sz="4" w:space="0"/>
          <w:bottom w:val="single" w:color="cccccc" w:sz="4" w:space="0"/>
          <w:right w:val="single" w:color="cccccc" w:sz="4" w:space="0"/>
        </w:pBdr>
        <w:shd w:val="clear" w:color="auto" w:fill="f2f2f2"/>
        <w:spacing w:after="100" w:before="0"/>
        <w:ind/>
        <w:rPr/>
      </w:pPr>
      <w:r>
        <w:rPr>
          <w:rFonts w:ascii="Consolas" w:hAnsi="Consolas" w:eastAsia="Consolas" w:cs="Consolas"/>
          <w:sz w:val="20"/>
          <w:szCs w:val="20"/>
        </w:rPr>
        <w:t xml:space="preserve">cd ghettoVCB</w:t>
      </w:r>
      <w:r/>
    </w:p>
    <w:p>
      <w:pPr>
        <w:pStyle w:val="819"/>
        <w:numPr>
          <w:ilvl w:val="0"/>
          <w:numId w:val="52"/>
        </w:numPr>
        <w:pBdr/>
        <w:spacing/>
        <w:ind/>
        <w:rPr/>
      </w:pPr>
      <w:r>
        <w:t xml:space="preserve">Download the script. The official source is:</w:t>
      </w:r>
      <w:r/>
    </w:p>
    <w:p>
      <w:pPr>
        <w:pBdr>
          <w:top w:val="single" w:color="cccccc" w:sz="4" w:space="0"/>
          <w:left w:val="single" w:color="cccccc" w:sz="4" w:space="0"/>
          <w:bottom w:val="single" w:color="cccccc" w:sz="4" w:space="0"/>
          <w:right w:val="single" w:color="cccccc" w:sz="4" w:space="0"/>
        </w:pBdr>
        <w:shd w:val="clear" w:color="auto" w:fill="f2f2f2"/>
        <w:spacing w:after="100" w:before="100"/>
        <w:ind/>
        <w:rPr/>
      </w:pPr>
      <w:r>
        <w:rPr>
          <w:rFonts w:ascii="Consolas" w:hAnsi="Consolas" w:eastAsia="Consolas" w:cs="Consolas"/>
          <w:sz w:val="20"/>
          <w:szCs w:val="20"/>
        </w:rPr>
        <w:t xml:space="preserve">https://raw.githubusercontent.com/lamw/ghettoVCB/master/ghettoVCB.sh</w:t>
      </w:r>
      <w:r/>
    </w:p>
    <w:p>
      <w:pPr>
        <w:pBdr/>
        <w:spacing w:after="120"/>
        <w:ind/>
        <w:rPr/>
      </w:pPr>
      <w:r>
        <w:t xml:space="preserve">If the ESXi host has restricted internet access, download the script on the management workstation and transfer it to the host using MobaXterm drag-and-drop or SCP.</w:t>
      </w:r>
      <w:r/>
    </w:p>
    <w:p>
      <w:pPr>
        <w:pStyle w:val="819"/>
        <w:numPr>
          <w:ilvl w:val="0"/>
          <w:numId w:val="52"/>
        </w:numPr>
        <w:pBdr/>
        <w:spacing/>
        <w:ind/>
        <w:rPr/>
      </w:pPr>
      <w:r>
        <w:t xml:space="preserve">Make the script executable:</w:t>
      </w:r>
      <w:r/>
    </w:p>
    <w:p>
      <w:pPr>
        <w:pBdr>
          <w:top w:val="single" w:color="cccccc" w:sz="4" w:space="0"/>
          <w:left w:val="single" w:color="cccccc" w:sz="4" w:space="0"/>
          <w:bottom w:val="single" w:color="cccccc" w:sz="4" w:space="0"/>
          <w:right w:val="single" w:color="cccccc" w:sz="4" w:space="0"/>
        </w:pBdr>
        <w:shd w:val="clear" w:color="auto" w:fill="f2f2f2"/>
        <w:spacing w:after="100" w:before="100"/>
        <w:ind/>
        <w:rPr/>
      </w:pPr>
      <w:r>
        <w:rPr>
          <w:rFonts w:ascii="Consolas" w:hAnsi="Consolas" w:eastAsia="Consolas" w:cs="Consolas"/>
          <w:sz w:val="20"/>
          <w:szCs w:val="20"/>
        </w:rPr>
        <w:t xml:space="preserve">chmod +x ghettoVCB.sh</w:t>
      </w:r>
      <w:r/>
    </w:p>
    <w:p>
      <w:pPr>
        <w:pStyle w:val="819"/>
        <w:numPr>
          <w:ilvl w:val="0"/>
          <w:numId w:val="52"/>
        </w:numPr>
        <w:pBdr/>
        <w:spacing/>
        <w:ind/>
        <w:rPr/>
      </w:pPr>
      <w:r>
        <w:t xml:space="preserve">Create the backup target directory (in the lab on the same datastore — in production this should always be on separate storage):</w:t>
      </w:r>
      <w:r/>
    </w:p>
    <w:p>
      <w:pPr>
        <w:pBdr>
          <w:top w:val="single" w:color="cccccc" w:sz="4" w:space="0"/>
          <w:left w:val="single" w:color="cccccc" w:sz="4" w:space="0"/>
          <w:bottom w:val="single" w:color="cccccc" w:sz="4" w:space="0"/>
          <w:right w:val="single" w:color="cccccc" w:sz="4" w:space="0"/>
        </w:pBdr>
        <w:shd w:val="clear" w:color="auto" w:fill="f2f2f2"/>
        <w:spacing w:after="100" w:before="100"/>
        <w:ind/>
        <w:rPr/>
      </w:pPr>
      <w:r>
        <w:rPr>
          <w:rFonts w:ascii="Consolas" w:hAnsi="Consolas" w:eastAsia="Consolas" w:cs="Consolas"/>
          <w:sz w:val="20"/>
          <w:szCs w:val="20"/>
        </w:rPr>
        <w:t xml:space="preserve">mkdir /vmfs/volumes/69e5cb3f-c2b3ee88-e01d-d4f5ef8b6f14/Backups</w:t>
      </w:r>
      <w:r/>
    </w:p>
    <w:p>
      <w:pPr>
        <w:pStyle w:val="829"/>
        <w:pBdr/>
        <w:spacing/>
        <w:ind/>
        <w:rPr/>
      </w:pPr>
      <w:r>
        <w:t xml:space="preserve">Creating the Configuration File</w:t>
      </w:r>
      <w:r/>
    </w:p>
    <w:p>
      <w:pPr>
        <w:pBdr/>
        <w:spacing w:after="120"/>
        <w:ind/>
        <w:rPr/>
      </w:pPr>
      <w:r>
        <w:t xml:space="preserve">Create a file named ghettoVCB.conf containing the backup parameters. Because the ESXi shell does not provide nano, the file is created using cat with a heredoc (vi is also available if preferred):</w:t>
      </w:r>
      <w:r/>
    </w:p>
    <w:p>
      <w:pPr>
        <w:pBdr>
          <w:top w:val="single" w:color="cccccc" w:sz="4" w:space="0"/>
          <w:left w:val="single" w:color="cccccc" w:sz="4" w:space="0"/>
          <w:bottom w:val="none" w:color="000000" w:sz="0" w:space="0"/>
          <w:right w:val="single" w:color="cccccc" w:sz="4" w:space="0"/>
        </w:pBdr>
        <w:shd w:val="clear" w:color="auto" w:fill="f2f2f2"/>
        <w:spacing w:after="0" w:before="100"/>
        <w:ind/>
        <w:rPr/>
      </w:pPr>
      <w:r>
        <w:rPr>
          <w:rFonts w:ascii="Consolas" w:hAnsi="Consolas" w:eastAsia="Consolas" w:cs="Consolas"/>
          <w:sz w:val="20"/>
          <w:szCs w:val="20"/>
        </w:rPr>
        <w:t xml:space="preserve">cat &gt; ghettoVCB.conf &lt;&lt; 'EOF'</w:t>
      </w:r>
      <w:r/>
    </w:p>
    <w:p>
      <w:pPr>
        <w:pBdr>
          <w:top w:val="none" w:color="000000" w:sz="0" w:space="0"/>
          <w:left w:val="single" w:color="cccccc" w:sz="4" w:space="0"/>
          <w:bottom w:val="none" w:color="000000" w:sz="0" w:space="0"/>
          <w:right w:val="single" w:color="cccccc" w:sz="4" w:space="0"/>
        </w:pBdr>
        <w:shd w:val="clear" w:color="auto" w:fill="f2f2f2"/>
        <w:spacing w:after="0" w:before="0"/>
        <w:ind/>
        <w:rPr/>
      </w:pPr>
      <w:r>
        <w:rPr>
          <w:rFonts w:ascii="Consolas" w:hAnsi="Consolas" w:eastAsia="Consolas" w:cs="Consolas"/>
          <w:sz w:val="20"/>
          <w:szCs w:val="20"/>
        </w:rPr>
        <w:t xml:space="preserve">VM_BACKUP_VOLUME=/vmfs/volumes/69e5cb3f-c2b3ee88-e01d-d4f5ef8b6f14/Backups</w:t>
      </w:r>
      <w:r/>
    </w:p>
    <w:p>
      <w:pPr>
        <w:pBdr>
          <w:top w:val="none" w:color="000000" w:sz="0" w:space="0"/>
          <w:left w:val="single" w:color="cccccc" w:sz="4" w:space="0"/>
          <w:bottom w:val="none" w:color="000000" w:sz="0" w:space="0"/>
          <w:right w:val="single" w:color="cccccc" w:sz="4" w:space="0"/>
        </w:pBdr>
        <w:shd w:val="clear" w:color="auto" w:fill="f2f2f2"/>
        <w:spacing w:after="0" w:before="0"/>
        <w:ind/>
        <w:rPr/>
      </w:pPr>
      <w:r>
        <w:rPr>
          <w:rFonts w:ascii="Consolas" w:hAnsi="Consolas" w:eastAsia="Consolas" w:cs="Consolas"/>
          <w:sz w:val="20"/>
          <w:szCs w:val="20"/>
        </w:rPr>
        <w:t xml:space="preserve">DISK_BACKUP_FORMAT=thin</w:t>
      </w:r>
      <w:r/>
    </w:p>
    <w:p>
      <w:pPr>
        <w:pBdr>
          <w:top w:val="none" w:color="000000" w:sz="0" w:space="0"/>
          <w:left w:val="single" w:color="cccccc" w:sz="4" w:space="0"/>
          <w:bottom w:val="none" w:color="000000" w:sz="0" w:space="0"/>
          <w:right w:val="single" w:color="cccccc" w:sz="4" w:space="0"/>
        </w:pBdr>
        <w:shd w:val="clear" w:color="auto" w:fill="f2f2f2"/>
        <w:spacing w:after="0" w:before="0"/>
        <w:ind/>
        <w:rPr/>
      </w:pPr>
      <w:r>
        <w:rPr>
          <w:rFonts w:ascii="Consolas" w:hAnsi="Consolas" w:eastAsia="Consolas" w:cs="Consolas"/>
          <w:sz w:val="20"/>
          <w:szCs w:val="20"/>
        </w:rPr>
        <w:t xml:space="preserve">VM_BACKUP_ROTATION_COUNT=3</w:t>
      </w:r>
      <w:r/>
    </w:p>
    <w:p>
      <w:pPr>
        <w:pBdr>
          <w:top w:val="none" w:color="000000" w:sz="0" w:space="0"/>
          <w:left w:val="single" w:color="cccccc" w:sz="4" w:space="0"/>
          <w:bottom w:val="none" w:color="000000" w:sz="0" w:space="0"/>
          <w:right w:val="single" w:color="cccccc" w:sz="4" w:space="0"/>
        </w:pBdr>
        <w:shd w:val="clear" w:color="auto" w:fill="f2f2f2"/>
        <w:spacing w:after="0" w:before="0"/>
        <w:ind/>
        <w:rPr/>
      </w:pPr>
      <w:r>
        <w:rPr>
          <w:rFonts w:ascii="Consolas" w:hAnsi="Consolas" w:eastAsia="Consolas" w:cs="Consolas"/>
          <w:sz w:val="20"/>
          <w:szCs w:val="20"/>
        </w:rPr>
        <w:t xml:space="preserve">POWER_VM_DOWN_BEFORE_BACKUP=0</w:t>
      </w:r>
      <w:r/>
    </w:p>
    <w:p>
      <w:pPr>
        <w:pBdr>
          <w:top w:val="none" w:color="000000" w:sz="0" w:space="0"/>
          <w:left w:val="single" w:color="cccccc" w:sz="4" w:space="0"/>
          <w:bottom w:val="none" w:color="000000" w:sz="0" w:space="0"/>
          <w:right w:val="single" w:color="cccccc" w:sz="4" w:space="0"/>
        </w:pBdr>
        <w:shd w:val="clear" w:color="auto" w:fill="f2f2f2"/>
        <w:spacing w:after="0" w:before="0"/>
        <w:ind/>
        <w:rPr/>
      </w:pPr>
      <w:r>
        <w:rPr>
          <w:rFonts w:ascii="Consolas" w:hAnsi="Consolas" w:eastAsia="Consolas" w:cs="Consolas"/>
          <w:sz w:val="20"/>
          <w:szCs w:val="20"/>
        </w:rPr>
        <w:t xml:space="preserve">ENABLE_HARD_POWER_OFF=0</w:t>
      </w:r>
      <w:r/>
    </w:p>
    <w:p>
      <w:pPr>
        <w:pBdr>
          <w:top w:val="none" w:color="000000" w:sz="0" w:space="0"/>
          <w:left w:val="single" w:color="cccccc" w:sz="4" w:space="0"/>
          <w:bottom w:val="none" w:color="000000" w:sz="0" w:space="0"/>
          <w:right w:val="single" w:color="cccccc" w:sz="4" w:space="0"/>
        </w:pBdr>
        <w:shd w:val="clear" w:color="auto" w:fill="f2f2f2"/>
        <w:spacing w:after="0" w:before="0"/>
        <w:ind/>
        <w:rPr/>
      </w:pPr>
      <w:r>
        <w:rPr>
          <w:rFonts w:ascii="Consolas" w:hAnsi="Consolas" w:eastAsia="Consolas" w:cs="Consolas"/>
          <w:sz w:val="20"/>
          <w:szCs w:val="20"/>
        </w:rPr>
        <w:t xml:space="preserve">ITER_TO_WAIT_SHUTDOWN=3</w:t>
      </w:r>
      <w:r/>
    </w:p>
    <w:p>
      <w:pPr>
        <w:pBdr>
          <w:top w:val="none" w:color="000000" w:sz="0" w:space="0"/>
          <w:left w:val="single" w:color="cccccc" w:sz="4" w:space="0"/>
          <w:bottom w:val="none" w:color="000000" w:sz="0" w:space="0"/>
          <w:right w:val="single" w:color="cccccc" w:sz="4" w:space="0"/>
        </w:pBdr>
        <w:shd w:val="clear" w:color="auto" w:fill="f2f2f2"/>
        <w:spacing w:after="0" w:before="0"/>
        <w:ind/>
        <w:rPr/>
      </w:pPr>
      <w:r>
        <w:rPr>
          <w:rFonts w:ascii="Consolas" w:hAnsi="Consolas" w:eastAsia="Consolas" w:cs="Consolas"/>
          <w:sz w:val="20"/>
          <w:szCs w:val="20"/>
        </w:rPr>
        <w:t xml:space="preserve">POWER_DOWN_TIMEOUT=5</w:t>
      </w:r>
      <w:r/>
    </w:p>
    <w:p>
      <w:pPr>
        <w:pBdr>
          <w:top w:val="none" w:color="000000" w:sz="0" w:space="0"/>
          <w:left w:val="single" w:color="cccccc" w:sz="4" w:space="0"/>
          <w:bottom w:val="none" w:color="000000" w:sz="0" w:space="0"/>
          <w:right w:val="single" w:color="cccccc" w:sz="4" w:space="0"/>
        </w:pBdr>
        <w:shd w:val="clear" w:color="auto" w:fill="f2f2f2"/>
        <w:spacing w:after="0" w:before="0"/>
        <w:ind/>
        <w:rPr/>
      </w:pPr>
      <w:r>
        <w:rPr>
          <w:rFonts w:ascii="Consolas" w:hAnsi="Consolas" w:eastAsia="Consolas" w:cs="Consolas"/>
          <w:sz w:val="20"/>
          <w:szCs w:val="20"/>
        </w:rPr>
        <w:t xml:space="preserve">ENABLE_COMPRESSION=0</w:t>
      </w:r>
      <w:r/>
    </w:p>
    <w:p>
      <w:pPr>
        <w:pBdr>
          <w:top w:val="none" w:color="000000" w:sz="0" w:space="0"/>
          <w:left w:val="single" w:color="cccccc" w:sz="4" w:space="0"/>
          <w:bottom w:val="none" w:color="000000" w:sz="0" w:space="0"/>
          <w:right w:val="single" w:color="cccccc" w:sz="4" w:space="0"/>
        </w:pBdr>
        <w:shd w:val="clear" w:color="auto" w:fill="f2f2f2"/>
        <w:spacing w:after="0" w:before="0"/>
        <w:ind/>
        <w:rPr/>
      </w:pPr>
      <w:r>
        <w:rPr>
          <w:rFonts w:ascii="Consolas" w:hAnsi="Consolas" w:eastAsia="Consolas" w:cs="Consolas"/>
          <w:sz w:val="20"/>
          <w:szCs w:val="20"/>
        </w:rPr>
        <w:t xml:space="preserve">VM_SNAPSHOT_MEMORY=0</w:t>
      </w:r>
      <w:r/>
    </w:p>
    <w:p>
      <w:pPr>
        <w:pBdr>
          <w:top w:val="none" w:color="000000" w:sz="0" w:space="0"/>
          <w:left w:val="single" w:color="cccccc" w:sz="4" w:space="0"/>
          <w:bottom w:val="none" w:color="000000" w:sz="0" w:space="0"/>
          <w:right w:val="single" w:color="cccccc" w:sz="4" w:space="0"/>
        </w:pBdr>
        <w:shd w:val="clear" w:color="auto" w:fill="f2f2f2"/>
        <w:spacing w:after="0" w:before="0"/>
        <w:ind/>
        <w:rPr/>
      </w:pPr>
      <w:r>
        <w:rPr>
          <w:rFonts w:ascii="Consolas" w:hAnsi="Consolas" w:eastAsia="Consolas" w:cs="Consolas"/>
          <w:sz w:val="20"/>
          <w:szCs w:val="20"/>
        </w:rPr>
        <w:t xml:space="preserve">VM_SNAPSHOT_QUIESCE=0</w:t>
      </w:r>
      <w:r/>
    </w:p>
    <w:p>
      <w:pPr>
        <w:pBdr>
          <w:top w:val="none" w:color="000000" w:sz="0" w:space="0"/>
          <w:left w:val="single" w:color="cccccc" w:sz="4" w:space="0"/>
          <w:bottom w:val="none" w:color="000000" w:sz="0" w:space="0"/>
          <w:right w:val="single" w:color="cccccc" w:sz="4" w:space="0"/>
        </w:pBdr>
        <w:shd w:val="clear" w:color="auto" w:fill="f2f2f2"/>
        <w:spacing w:after="0" w:before="0"/>
        <w:ind/>
        <w:rPr/>
      </w:pPr>
      <w:r>
        <w:rPr>
          <w:rFonts w:ascii="Consolas" w:hAnsi="Consolas" w:eastAsia="Consolas" w:cs="Consolas"/>
          <w:sz w:val="20"/>
          <w:szCs w:val="20"/>
        </w:rPr>
        <w:t xml:space="preserve">ENABLE_NON_PERSISTENT_NFS=0</w:t>
      </w:r>
      <w:r/>
    </w:p>
    <w:p>
      <w:pPr>
        <w:pBdr>
          <w:top w:val="none" w:color="000000" w:sz="0" w:space="0"/>
          <w:left w:val="single" w:color="cccccc" w:sz="4" w:space="0"/>
          <w:bottom w:val="none" w:color="000000" w:sz="0" w:space="0"/>
          <w:right w:val="single" w:color="cccccc" w:sz="4" w:space="0"/>
        </w:pBdr>
        <w:shd w:val="clear" w:color="auto" w:fill="f2f2f2"/>
        <w:spacing w:after="0" w:before="0"/>
        <w:ind/>
        <w:rPr/>
      </w:pPr>
      <w:r>
        <w:rPr>
          <w:rFonts w:ascii="Consolas" w:hAnsi="Consolas" w:eastAsia="Consolas" w:cs="Consolas"/>
          <w:sz w:val="20"/>
          <w:szCs w:val="20"/>
        </w:rPr>
        <w:t xml:space="preserve">UNMOUNT_NFS=0</w:t>
      </w:r>
      <w:r/>
    </w:p>
    <w:p>
      <w:pPr>
        <w:pBdr>
          <w:top w:val="none" w:color="000000" w:sz="0" w:space="0"/>
          <w:left w:val="single" w:color="cccccc" w:sz="4" w:space="0"/>
          <w:bottom w:val="none" w:color="000000" w:sz="0" w:space="0"/>
          <w:right w:val="single" w:color="cccccc" w:sz="4" w:space="0"/>
        </w:pBdr>
        <w:shd w:val="clear" w:color="auto" w:fill="f2f2f2"/>
        <w:spacing w:after="0" w:before="0"/>
        <w:ind/>
        <w:rPr/>
      </w:pPr>
      <w:r>
        <w:rPr>
          <w:rFonts w:ascii="Consolas" w:hAnsi="Consolas" w:eastAsia="Consolas" w:cs="Consolas"/>
          <w:sz w:val="20"/>
          <w:szCs w:val="20"/>
        </w:rPr>
        <w:t xml:space="preserve">EMAIL_LOG=0</w:t>
      </w:r>
      <w:r/>
    </w:p>
    <w:p>
      <w:pPr>
        <w:pBdr>
          <w:top w:val="none" w:color="000000" w:sz="0" w:space="0"/>
          <w:left w:val="single" w:color="cccccc" w:sz="4" w:space="0"/>
          <w:bottom w:val="none" w:color="000000" w:sz="0" w:space="0"/>
          <w:right w:val="single" w:color="cccccc" w:sz="4" w:space="0"/>
        </w:pBdr>
        <w:shd w:val="clear" w:color="auto" w:fill="f2f2f2"/>
        <w:spacing w:after="0" w:before="0"/>
        <w:ind/>
        <w:rPr/>
      </w:pPr>
      <w:r>
        <w:rPr>
          <w:rFonts w:ascii="Consolas" w:hAnsi="Consolas" w:eastAsia="Consolas" w:cs="Consolas"/>
          <w:sz w:val="20"/>
          <w:szCs w:val="20"/>
        </w:rPr>
        <w:t xml:space="preserve">WORKDIR_DEBUG=0</w:t>
      </w:r>
      <w:r/>
    </w:p>
    <w:p>
      <w:pPr>
        <w:pBdr>
          <w:top w:val="none" w:color="000000" w:sz="0" w:space="0"/>
          <w:left w:val="single" w:color="cccccc" w:sz="4" w:space="0"/>
          <w:bottom w:val="none" w:color="000000" w:sz="0" w:space="0"/>
          <w:right w:val="single" w:color="cccccc" w:sz="4" w:space="0"/>
        </w:pBdr>
        <w:shd w:val="clear" w:color="auto" w:fill="f2f2f2"/>
        <w:spacing w:after="0" w:before="0"/>
        <w:ind/>
        <w:rPr/>
      </w:pPr>
      <w:r>
        <w:rPr>
          <w:rFonts w:ascii="Consolas" w:hAnsi="Consolas" w:eastAsia="Consolas" w:cs="Consolas"/>
          <w:sz w:val="20"/>
          <w:szCs w:val="20"/>
        </w:rPr>
        <w:t xml:space="preserve">VM_SHUTDOWN_ORDER=</w:t>
      </w:r>
      <w:r/>
    </w:p>
    <w:p>
      <w:pPr>
        <w:pBdr>
          <w:top w:val="none" w:color="000000" w:sz="0" w:space="0"/>
          <w:left w:val="single" w:color="cccccc" w:sz="4" w:space="0"/>
          <w:bottom w:val="none" w:color="000000" w:sz="0" w:space="0"/>
          <w:right w:val="single" w:color="cccccc" w:sz="4" w:space="0"/>
        </w:pBdr>
        <w:shd w:val="clear" w:color="auto" w:fill="f2f2f2"/>
        <w:spacing w:after="0" w:before="0"/>
        <w:ind/>
        <w:rPr/>
      </w:pPr>
      <w:r>
        <w:rPr>
          <w:rFonts w:ascii="Consolas" w:hAnsi="Consolas" w:eastAsia="Consolas" w:cs="Consolas"/>
          <w:sz w:val="20"/>
          <w:szCs w:val="20"/>
        </w:rPr>
        <w:t xml:space="preserve">VM_STARTUP_ORDER=</w:t>
      </w:r>
      <w:r/>
    </w:p>
    <w:p>
      <w:pPr>
        <w:pBdr>
          <w:top w:val="none" w:color="000000" w:sz="0" w:space="0"/>
          <w:left w:val="single" w:color="cccccc" w:sz="4" w:space="0"/>
          <w:bottom w:val="none" w:color="000000" w:sz="0" w:space="0"/>
          <w:right w:val="single" w:color="cccccc" w:sz="4" w:space="0"/>
        </w:pBdr>
        <w:shd w:val="clear" w:color="auto" w:fill="f2f2f2"/>
        <w:spacing w:after="0" w:before="0"/>
        <w:ind/>
        <w:rPr/>
      </w:pPr>
      <w:r>
        <w:rPr>
          <w:rFonts w:ascii="Consolas" w:hAnsi="Consolas" w:eastAsia="Consolas" w:cs="Consolas"/>
          <w:sz w:val="20"/>
          <w:szCs w:val="20"/>
        </w:rPr>
        <w:t xml:space="preserve">RSYNC_LINK=0</w:t>
      </w:r>
      <w:r/>
    </w:p>
    <w:p>
      <w:pPr>
        <w:pBdr>
          <w:top w:val="none" w:color="000000" w:sz="0" w:space="0"/>
          <w:left w:val="single" w:color="cccccc" w:sz="4" w:space="0"/>
          <w:bottom w:val="none" w:color="000000" w:sz="0" w:space="0"/>
          <w:right w:val="single" w:color="cccccc" w:sz="4" w:space="0"/>
        </w:pBdr>
        <w:shd w:val="clear" w:color="auto" w:fill="f2f2f2"/>
        <w:spacing w:after="0" w:before="0"/>
        <w:ind/>
        <w:rPr/>
      </w:pPr>
      <w:r>
        <w:rPr>
          <w:rFonts w:ascii="Consolas" w:hAnsi="Consolas" w:eastAsia="Consolas" w:cs="Consolas"/>
          <w:sz w:val="20"/>
          <w:szCs w:val="20"/>
        </w:rPr>
        <w:t xml:space="preserve">BACKUP_FILES_CHMOD=</w:t>
      </w:r>
      <w:r/>
    </w:p>
    <w:p>
      <w:pPr>
        <w:pBdr>
          <w:top w:val="none" w:color="000000" w:sz="0" w:space="0"/>
          <w:left w:val="single" w:color="cccccc" w:sz="4" w:space="0"/>
          <w:bottom w:val="single" w:color="cccccc" w:sz="4" w:space="0"/>
          <w:right w:val="single" w:color="cccccc" w:sz="4" w:space="0"/>
        </w:pBdr>
        <w:shd w:val="clear" w:color="auto" w:fill="f2f2f2"/>
        <w:spacing w:after="100" w:before="0"/>
        <w:ind/>
        <w:rPr/>
      </w:pPr>
      <w:r>
        <w:rPr>
          <w:rFonts w:ascii="Consolas" w:hAnsi="Consolas" w:eastAsia="Consolas" w:cs="Consolas"/>
          <w:sz w:val="20"/>
          <w:szCs w:val="20"/>
        </w:rPr>
        <w:t xml:space="preserve">EOF</w:t>
      </w:r>
      <w:r/>
    </w:p>
    <w:p>
      <w:pPr>
        <w:pStyle w:val="829"/>
        <w:pBdr/>
        <w:spacing/>
        <w:ind/>
        <w:rPr/>
      </w:pPr>
      <w:r>
        <w:t xml:space="preserve">Listing VMs and Creating the VM List</w:t>
      </w:r>
      <w:r/>
    </w:p>
    <w:p>
      <w:pPr>
        <w:pBdr/>
        <w:spacing w:after="120"/>
        <w:ind/>
        <w:rPr/>
      </w:pPr>
      <w:r>
        <w:t xml:space="preserve">To identify the exact VM names, list all registered VMs on the host:</w:t>
      </w:r>
      <w:r/>
    </w:p>
    <w:p>
      <w:pPr>
        <w:pBdr>
          <w:top w:val="single" w:color="cccccc" w:sz="4" w:space="0"/>
          <w:left w:val="single" w:color="cccccc" w:sz="4" w:space="0"/>
          <w:bottom w:val="single" w:color="cccccc" w:sz="4" w:space="0"/>
          <w:right w:val="single" w:color="cccccc" w:sz="4" w:space="0"/>
        </w:pBdr>
        <w:shd w:val="clear" w:color="auto" w:fill="f2f2f2"/>
        <w:spacing w:after="100" w:before="100"/>
        <w:ind/>
        <w:rPr/>
      </w:pPr>
      <w:r>
        <w:rPr>
          <w:rFonts w:ascii="Consolas" w:hAnsi="Consolas" w:eastAsia="Consolas" w:cs="Consolas"/>
          <w:sz w:val="20"/>
          <w:szCs w:val="20"/>
        </w:rPr>
        <w:t xml:space="preserve">vim-cmd vmsvc/getallvms</w:t>
      </w:r>
      <w:r/>
    </w:p>
    <w:p>
      <w:pPr>
        <w:pBdr/>
        <w:spacing w:after="120"/>
        <w:ind/>
        <w:rPr/>
      </w:pPr>
      <w:r>
        <w:t xml:space="preserve">Create the vms_to_backup file with one VM name per line:</w:t>
      </w:r>
      <w:r/>
    </w:p>
    <w:p>
      <w:pPr>
        <w:pBdr>
          <w:top w:val="single" w:color="cccccc" w:sz="4" w:space="0"/>
          <w:left w:val="single" w:color="cccccc" w:sz="4" w:space="0"/>
          <w:bottom w:val="none" w:color="000000" w:sz="0" w:space="0"/>
          <w:right w:val="single" w:color="cccccc" w:sz="4" w:space="0"/>
        </w:pBdr>
        <w:shd w:val="clear" w:color="auto" w:fill="f2f2f2"/>
        <w:spacing w:after="0" w:before="100"/>
        <w:ind/>
        <w:rPr/>
      </w:pPr>
      <w:r>
        <w:rPr>
          <w:rFonts w:ascii="Consolas" w:hAnsi="Consolas" w:eastAsia="Consolas" w:cs="Consolas"/>
          <w:sz w:val="20"/>
          <w:szCs w:val="20"/>
        </w:rPr>
        <w:t xml:space="preserve">cat &gt; vms_to_backup &lt;&lt; 'EOF'</w:t>
      </w:r>
      <w:r/>
    </w:p>
    <w:p>
      <w:pPr>
        <w:pBdr>
          <w:top w:val="none" w:color="000000" w:sz="0" w:space="0"/>
          <w:left w:val="single" w:color="cccccc" w:sz="4" w:space="0"/>
          <w:bottom w:val="none" w:color="000000" w:sz="0" w:space="0"/>
          <w:right w:val="single" w:color="cccccc" w:sz="4" w:space="0"/>
        </w:pBdr>
        <w:shd w:val="clear" w:color="auto" w:fill="f2f2f2"/>
        <w:spacing w:after="0" w:before="0"/>
        <w:ind/>
        <w:rPr/>
      </w:pPr>
      <w:r>
        <w:rPr>
          <w:rFonts w:ascii="Consolas" w:hAnsi="Consolas" w:eastAsia="Consolas" w:cs="Consolas"/>
          <w:sz w:val="20"/>
          <w:szCs w:val="20"/>
        </w:rPr>
        <w:t xml:space="preserve">ubuntu-server-01</w:t>
      </w:r>
      <w:r/>
    </w:p>
    <w:p>
      <w:pPr>
        <w:pBdr>
          <w:top w:val="none" w:color="000000" w:sz="0" w:space="0"/>
          <w:left w:val="single" w:color="cccccc" w:sz="4" w:space="0"/>
          <w:bottom w:val="none" w:color="000000" w:sz="0" w:space="0"/>
          <w:right w:val="single" w:color="cccccc" w:sz="4" w:space="0"/>
        </w:pBdr>
        <w:shd w:val="clear" w:color="auto" w:fill="f2f2f2"/>
        <w:spacing w:after="0" w:before="0"/>
        <w:ind/>
        <w:rPr/>
      </w:pPr>
      <w:r>
        <w:rPr>
          <w:rFonts w:ascii="Consolas" w:hAnsi="Consolas" w:eastAsia="Consolas" w:cs="Consolas"/>
          <w:sz w:val="20"/>
          <w:szCs w:val="20"/>
        </w:rPr>
        <w:t xml:space="preserve">ubuntu-server-01-clone</w:t>
      </w:r>
      <w:r/>
    </w:p>
    <w:p>
      <w:pPr>
        <w:pBdr>
          <w:top w:val="none" w:color="000000" w:sz="0" w:space="0"/>
          <w:left w:val="single" w:color="cccccc" w:sz="4" w:space="0"/>
          <w:bottom w:val="single" w:color="cccccc" w:sz="4" w:space="0"/>
          <w:right w:val="single" w:color="cccccc" w:sz="4" w:space="0"/>
        </w:pBdr>
        <w:shd w:val="clear" w:color="auto" w:fill="f2f2f2"/>
        <w:spacing w:after="100" w:before="0"/>
        <w:ind/>
        <w:rPr/>
      </w:pPr>
      <w:r>
        <w:rPr>
          <w:rFonts w:ascii="Consolas" w:hAnsi="Consolas" w:eastAsia="Consolas" w:cs="Consolas"/>
          <w:sz w:val="20"/>
          <w:szCs w:val="20"/>
        </w:rPr>
        <w:t xml:space="preserve">EOF</w:t>
      </w:r>
      <w:r/>
    </w:p>
    <w:p>
      <w:pPr>
        <w:pStyle w:val="829"/>
        <w:pBdr/>
        <w:spacing/>
        <w:ind/>
        <w:rPr/>
      </w:pPr>
      <w:r>
        <w:t xml:space="preserve">Running the Backup</w:t>
      </w:r>
      <w:r/>
    </w:p>
    <w:p>
      <w:pPr>
        <w:pBdr>
          <w:top w:val="single" w:color="cccccc" w:sz="4" w:space="0"/>
          <w:left w:val="single" w:color="cccccc" w:sz="4" w:space="0"/>
          <w:bottom w:val="single" w:color="cccccc" w:sz="4" w:space="0"/>
          <w:right w:val="single" w:color="cccccc" w:sz="4" w:space="0"/>
        </w:pBdr>
        <w:shd w:val="clear" w:color="auto" w:fill="f2f2f2"/>
        <w:spacing w:after="100" w:before="100"/>
        <w:ind/>
        <w:rPr/>
      </w:pPr>
      <w:r>
        <w:rPr>
          <w:rFonts w:ascii="Consolas" w:hAnsi="Consolas" w:eastAsia="Consolas" w:cs="Consolas"/>
          <w:sz w:val="20"/>
          <w:szCs w:val="20"/>
        </w:rPr>
        <w:t xml:space="preserve">./ghettoVCB.sh -f vms_to_backup -g /vmfs/volumes/69e5cb3f-c2b3ee88-e01d-d4f5ef8b6f14/ghettoVCB/ghettoVCB.conf</w:t>
      </w:r>
      <w:r/>
    </w:p>
    <w:p>
      <w:pPr>
        <w:pBdr/>
        <w:spacing w:after="120"/>
        <w:ind/>
        <w:rPr/>
      </w:pPr>
      <w:r>
        <w:t xml:space="preserve">Successful log output:</w:t>
      </w:r>
      <w:r/>
    </w:p>
    <w:p>
      <w:pPr>
        <w:pBdr>
          <w:top w:val="single" w:color="cccccc" w:sz="4" w:space="0"/>
          <w:left w:val="single" w:color="cccccc" w:sz="4" w:space="0"/>
          <w:bottom w:val="none" w:color="000000" w:sz="0" w:space="0"/>
          <w:right w:val="single" w:color="cccccc" w:sz="4" w:space="0"/>
        </w:pBdr>
        <w:shd w:val="clear" w:color="auto" w:fill="f2f2f2"/>
        <w:spacing w:after="0" w:before="100"/>
        <w:ind/>
        <w:rPr/>
      </w:pPr>
      <w:r>
        <w:rPr>
          <w:rFonts w:ascii="Consolas" w:hAnsi="Consolas" w:eastAsia="Consolas" w:cs="Consolas"/>
          <w:sz w:val="20"/>
          <w:szCs w:val="20"/>
        </w:rPr>
        <w:t xml:space="preserve">2026-05-06 08:42:43 -- info: Successfully completed backup for ubuntu-server-01!</w:t>
      </w:r>
      <w:r/>
    </w:p>
    <w:p>
      <w:pPr>
        <w:pBdr>
          <w:top w:val="none" w:color="000000" w:sz="0" w:space="0"/>
          <w:left w:val="single" w:color="cccccc" w:sz="4" w:space="0"/>
          <w:bottom w:val="single" w:color="cccccc" w:sz="4" w:space="0"/>
          <w:right w:val="single" w:color="cccccc" w:sz="4" w:space="0"/>
        </w:pBdr>
        <w:shd w:val="clear" w:color="auto" w:fill="f2f2f2"/>
        <w:spacing w:after="100" w:before="0"/>
        <w:ind/>
        <w:rPr/>
      </w:pPr>
      <w:r>
        <w:rPr>
          <w:rFonts w:ascii="Consolas" w:hAnsi="Consolas" w:eastAsia="Consolas" w:cs="Consolas"/>
          <w:sz w:val="20"/>
          <w:szCs w:val="20"/>
        </w:rPr>
        <w:t xml:space="preserve">2026-05-06 08:42:50 -- info: Successfully completed backup for ubuntu-server-01-clone!</w:t>
      </w:r>
      <w:r/>
    </w:p>
    <w:p>
      <w:pPr>
        <w:pBdr/>
        <w:spacing/>
        <w:ind/>
        <w:rPr/>
      </w:pPr>
      <w:r/>
      <w:r/>
    </w:p>
    <w:p>
      <w:pPr>
        <w:pStyle w:val="828"/>
        <w:pBdr/>
        <w:spacing/>
        <w:ind/>
        <w:rPr/>
      </w:pPr>
      <w:r>
        <w:t xml:space="preserve">2.17  Snapshots in the vSphere Client</w:t>
      </w:r>
      <w:r/>
    </w:p>
    <w:p>
      <w:pPr>
        <w:pStyle w:val="819"/>
        <w:numPr>
          <w:ilvl w:val="0"/>
          <w:numId w:val="53"/>
        </w:numPr>
        <w:pBdr/>
        <w:spacing/>
        <w:ind/>
        <w:rPr/>
      </w:pPr>
      <w:r>
        <w:t xml:space="preserve">Connect to the vSphere Client.</w:t>
      </w:r>
      <w:r/>
    </w:p>
    <w:p>
      <w:pPr>
        <w:pStyle w:val="819"/>
        <w:numPr>
          <w:ilvl w:val="0"/>
          <w:numId w:val="53"/>
        </w:numPr>
        <w:pBdr/>
        <w:spacing/>
        <w:ind/>
        <w:rPr/>
      </w:pPr>
      <w:r>
        <w:t xml:space="preserve">Right-click the VM → </w:t>
      </w:r>
      <w:r>
        <w:rPr>
          <w:b/>
          <w:bCs/>
        </w:rPr>
        <w:t xml:space="preserve">Snapshot → Take Snapshot</w:t>
      </w:r>
      <w:r>
        <w:t xml:space="preserve">.</w:t>
      </w:r>
      <w:r/>
    </w:p>
    <w:p>
      <w:pPr>
        <w:pBdr/>
        <w:spacing w:after="120" w:before="120"/>
        <w:ind/>
        <w:jc w:val="center"/>
        <w:rPr/>
      </w:pPr>
      <w:r>
        <mc:AlternateContent>
          <mc:Choice Requires="wpg">
            <w:drawing>
              <wp:inline xmlns:wp="http://schemas.openxmlformats.org/drawingml/2006/wordprocessingDrawing" distT="0" distB="0" distL="0" distR="0">
                <wp:extent cx="5143500" cy="3371850"/>
                <wp:effectExtent l="0" t="0" r="0" b="0"/>
                <wp:docPr id="2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pic:cNvPicPr>
                        <pic:nvPr/>
                      </pic:nvPicPr>
                      <pic:blipFill rotWithShape="1">
                        <a:blip r:embed="rId35"/>
                        <a:stretch/>
                      </pic:blipFill>
                      <pic:spPr bwMode="auto">
                        <a:xfrm>
                          <a:off x="0" y="0"/>
                          <a:ext cx="5143500" cy="337185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4" o:spid="_x0000_s24" type="#_x0000_t75" style="width:405.00pt;height:265.50pt;mso-wrap-distance-left:0.00pt;mso-wrap-distance-top:0.00pt;mso-wrap-distance-right:0.00pt;mso-wrap-distance-bottom:0.00pt;z-index:1;" stroked="false">
                <v:imagedata r:id="rId35" o:title=""/>
                <o:lock v:ext="edit" rotation="t"/>
              </v:shape>
            </w:pict>
          </mc:Fallback>
        </mc:AlternateContent>
      </w:r>
      <w:r/>
    </w:p>
    <w:p>
      <w:pPr>
        <w:pStyle w:val="819"/>
        <w:numPr>
          <w:ilvl w:val="0"/>
          <w:numId w:val="53"/>
        </w:numPr>
        <w:pBdr/>
        <w:spacing/>
        <w:ind/>
        <w:rPr/>
      </w:pPr>
      <w:r>
        <w:t xml:space="preserve">Enter a name and optional description, then click Create.</w:t>
      </w:r>
      <w:r/>
    </w:p>
    <w:p>
      <w:pPr>
        <w:pStyle w:val="829"/>
        <w:pBdr/>
        <w:spacing/>
        <w:ind/>
        <w:rPr/>
      </w:pPr>
      <w:r>
        <w:t xml:space="preserve">Reverting a Snapshot</w:t>
      </w:r>
      <w:r/>
    </w:p>
    <w:p>
      <w:pPr>
        <w:pStyle w:val="819"/>
        <w:numPr>
          <w:ilvl w:val="0"/>
          <w:numId w:val="54"/>
        </w:numPr>
        <w:pBdr/>
        <w:spacing/>
        <w:ind/>
        <w:rPr/>
      </w:pPr>
      <w:r>
        <w:t xml:space="preserve">Navigate to </w:t>
      </w:r>
      <w:r>
        <w:rPr>
          <w:b/>
          <w:bCs/>
        </w:rPr>
        <w:t xml:space="preserve">Snapshots → Revert to Latest Snapshot</w:t>
      </w:r>
      <w:r>
        <w:t xml:space="preserve">.</w:t>
      </w:r>
      <w:r/>
    </w:p>
    <w:p>
      <w:pPr>
        <w:pStyle w:val="819"/>
        <w:numPr>
          <w:ilvl w:val="0"/>
          <w:numId w:val="54"/>
        </w:numPr>
        <w:pBdr/>
        <w:spacing/>
        <w:ind/>
        <w:rPr/>
      </w:pPr>
      <w:r>
        <w:t xml:space="preserve">Confirm with Revert in the popup.</w:t>
      </w:r>
      <w:r/>
    </w:p>
    <w:p>
      <w:pPr>
        <w:pStyle w:val="829"/>
        <w:pBdr/>
        <w:spacing/>
        <w:ind/>
        <w:rPr/>
      </w:pPr>
      <w:r>
        <w:t xml:space="preserve">Managing Snapshots</w:t>
      </w:r>
      <w:r/>
    </w:p>
    <w:p>
      <w:pPr>
        <w:pStyle w:val="819"/>
        <w:numPr>
          <w:ilvl w:val="0"/>
          <w:numId w:val="55"/>
        </w:numPr>
        <w:pBdr/>
        <w:spacing/>
        <w:ind/>
        <w:rPr/>
      </w:pPr>
      <w:r>
        <w:t xml:space="preserve">Open </w:t>
      </w:r>
      <w:r>
        <w:rPr>
          <w:b/>
          <w:bCs/>
        </w:rPr>
        <w:t xml:space="preserve">Snapshots → Manage Snapshots</w:t>
      </w:r>
      <w:r>
        <w:t xml:space="preserve"> to view all snapshots of the VM. Each snapshot can be selected, edited, or deleted from this view.</w:t>
      </w:r>
      <w:r/>
    </w:p>
    <w:p>
      <w:pPr>
        <w:pBdr/>
        <w:spacing/>
        <w:ind/>
        <w:rPr/>
      </w:pPr>
      <w:r/>
      <w:r/>
    </w:p>
    <w:p>
      <w:pPr>
        <w:pStyle w:val="828"/>
        <w:pBdr/>
        <w:spacing/>
        <w:ind/>
        <w:rPr/>
      </w:pPr>
      <w:r>
        <w:t xml:space="preserve">2.18  Creating a VM Template (vSphere Client)</w:t>
      </w:r>
      <w:r/>
    </w:p>
    <w:p>
      <w:pPr>
        <w:pBdr>
          <w:top w:val="single" w:color="d9822b" w:sz="6" w:space="0"/>
          <w:left w:val="single" w:color="d9822b" w:sz="18" w:space="0"/>
          <w:bottom w:val="single" w:color="d9822b" w:sz="6" w:space="0"/>
          <w:right w:val="single" w:color="d9822b" w:sz="6" w:space="0"/>
        </w:pBdr>
        <w:shd w:val="clear" w:color="auto" w:fill="fdf2e9"/>
        <w:spacing w:after="150" w:before="150"/>
        <w:ind/>
        <w:rPr/>
      </w:pPr>
      <w:r>
        <w:rPr>
          <w:b/>
          <w:bCs/>
          <w:color w:val="8b5a1b"/>
        </w:rPr>
        <w:t xml:space="preserve">Template behaviour: </w:t>
      </w:r>
      <w:r>
        <w:t xml:space="preserve">Once a VM is converted to a template, it can no longer be powered on. To use it, deploy a new VM from the template instead.</w:t>
      </w:r>
      <w:r/>
    </w:p>
    <w:p>
      <w:pPr>
        <w:pStyle w:val="819"/>
        <w:numPr>
          <w:ilvl w:val="0"/>
          <w:numId w:val="56"/>
        </w:numPr>
        <w:pBdr/>
        <w:spacing/>
        <w:ind/>
        <w:rPr/>
      </w:pPr>
      <w:r>
        <w:t xml:space="preserve">Right-click the VM → </w:t>
      </w:r>
      <w:r>
        <w:rPr>
          <w:b/>
          <w:bCs/>
        </w:rPr>
        <w:t xml:space="preserve">Template → Convert to Template</w:t>
      </w:r>
      <w:r>
        <w:t xml:space="preserve">.</w:t>
      </w:r>
      <w:r/>
    </w:p>
    <w:p>
      <w:pPr>
        <w:pBdr/>
        <w:spacing w:after="120" w:before="120"/>
        <w:ind/>
        <w:jc w:val="center"/>
        <w:rPr/>
      </w:pPr>
      <w:r>
        <mc:AlternateContent>
          <mc:Choice Requires="wpg">
            <w:drawing>
              <wp:inline xmlns:wp="http://schemas.openxmlformats.org/drawingml/2006/wordprocessingDrawing" distT="0" distB="0" distL="0" distR="0">
                <wp:extent cx="5143500" cy="3314700"/>
                <wp:effectExtent l="0" t="0" r="0" b="0"/>
                <wp:docPr id="2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pic:cNvPicPr>
                        <pic:nvPr/>
                      </pic:nvPicPr>
                      <pic:blipFill rotWithShape="1">
                        <a:blip r:embed="rId36"/>
                        <a:stretch/>
                      </pic:blipFill>
                      <pic:spPr bwMode="auto">
                        <a:xfrm>
                          <a:off x="0" y="0"/>
                          <a:ext cx="5143500" cy="331470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5" o:spid="_x0000_s25" type="#_x0000_t75" style="width:405.00pt;height:261.00pt;mso-wrap-distance-left:0.00pt;mso-wrap-distance-top:0.00pt;mso-wrap-distance-right:0.00pt;mso-wrap-distance-bottom:0.00pt;z-index:1;" stroked="false">
                <v:imagedata r:id="rId36" o:title=""/>
                <o:lock v:ext="edit" rotation="t"/>
              </v:shape>
            </w:pict>
          </mc:Fallback>
        </mc:AlternateContent>
      </w:r>
      <w:r/>
    </w:p>
    <w:p>
      <w:pPr>
        <w:pBdr/>
        <w:spacing w:after="120"/>
        <w:ind/>
        <w:rPr/>
      </w:pPr>
      <w:r>
        <w:t xml:space="preserve">The template now appears in the VMs and Templates view of the inventory:</w:t>
      </w:r>
      <w:r/>
    </w:p>
    <w:p>
      <w:pPr>
        <w:pBdr/>
        <w:spacing w:after="120" w:before="120"/>
        <w:ind/>
        <w:jc w:val="center"/>
        <w:rPr/>
      </w:pPr>
      <w:r>
        <mc:AlternateContent>
          <mc:Choice Requires="wpg">
            <w:drawing>
              <wp:inline xmlns:wp="http://schemas.openxmlformats.org/drawingml/2006/wordprocessingDrawing" distT="0" distB="0" distL="0" distR="0">
                <wp:extent cx="3686175" cy="3114675"/>
                <wp:effectExtent l="0" t="0" r="0" b="0"/>
                <wp:docPr id="2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pic:cNvPicPr>
                        <pic:nvPr/>
                      </pic:nvPicPr>
                      <pic:blipFill rotWithShape="1">
                        <a:blip r:embed="rId37"/>
                        <a:stretch/>
                      </pic:blipFill>
                      <pic:spPr bwMode="auto">
                        <a:xfrm>
                          <a:off x="0" y="0"/>
                          <a:ext cx="3686175" cy="311467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6" o:spid="_x0000_s26" type="#_x0000_t75" style="width:290.25pt;height:245.25pt;mso-wrap-distance-left:0.00pt;mso-wrap-distance-top:0.00pt;mso-wrap-distance-right:0.00pt;mso-wrap-distance-bottom:0.00pt;z-index:1;" stroked="false">
                <v:imagedata r:id="rId37" o:title=""/>
                <o:lock v:ext="edit" rotation="t"/>
              </v:shape>
            </w:pict>
          </mc:Fallback>
        </mc:AlternateContent>
      </w:r>
      <w:r/>
    </w:p>
    <w:p>
      <w:pPr>
        <w:pBdr/>
        <w:spacing/>
        <w:ind/>
        <w:rPr/>
      </w:pPr>
      <w:r/>
      <w:r/>
    </w:p>
    <w:p>
      <w:pPr>
        <w:pStyle w:val="828"/>
        <w:pBdr/>
        <w:spacing/>
        <w:ind/>
        <w:rPr/>
      </w:pPr>
      <w:r>
        <w:t xml:space="preserve">2.19  Using Remote iSCSI Storage</w:t>
      </w:r>
      <w:r/>
    </w:p>
    <w:p>
      <w:pPr>
        <w:pBdr/>
        <w:spacing w:after="120"/>
        <w:ind/>
        <w:rPr/>
      </w:pPr>
      <w:r>
        <w:t xml:space="preserve">Shared storage is essential for advanced vSphere features such as vMotion, HA, and DRS. In this lab, the CLOIF2 TrueNAS server provides iSCSI block storage to the ESXi hosts.</w:t>
      </w:r>
      <w:r/>
    </w:p>
    <w:p>
      <w:pPr>
        <w:pStyle w:val="829"/>
        <w:pBdr/>
        <w:spacing/>
        <w:ind/>
        <w:rPr/>
      </w:pPr>
      <w:r>
        <w:t xml:space="preserve">Phase 1 — Preparation on TrueNAS</w:t>
      </w:r>
      <w:r/>
    </w:p>
    <w:p>
      <w:pPr>
        <w:pStyle w:val="830"/>
        <w:pBdr/>
        <w:spacing/>
        <w:ind/>
        <w:rPr/>
      </w:pPr>
      <w:r>
        <w:t xml:space="preserve">Step 1.1 — Verify the iSCSI Service</w:t>
      </w:r>
      <w:r/>
    </w:p>
    <w:p>
      <w:pPr>
        <w:pBdr/>
        <w:spacing w:after="120"/>
        <w:ind/>
        <w:rPr/>
      </w:pPr>
      <w:r>
        <w:t xml:space="preserve">In the TrueNAS web interface, navigate to System Settings → Services and ensure the iSCSI service is Running with "Start Automatically" enabled.</w:t>
      </w:r>
      <w:r/>
    </w:p>
    <w:p>
      <w:pPr>
        <w:pStyle w:val="830"/>
        <w:pBdr/>
        <w:spacing/>
        <w:ind/>
        <w:rPr/>
      </w:pPr>
      <w:r>
        <w:t xml:space="preserve">Step 1.2 — Verify the Existing Setup</w:t>
      </w:r>
      <w:r/>
    </w:p>
    <w:p>
      <w:pPr>
        <w:pStyle w:val="819"/>
        <w:numPr>
          <w:ilvl w:val="0"/>
          <w:numId w:val="57"/>
        </w:numPr>
        <w:pBdr/>
        <w:spacing/>
        <w:ind/>
        <w:rPr/>
      </w:pPr>
      <w:r>
        <w:t xml:space="preserve">Navigate to </w:t>
      </w:r>
      <w:r>
        <w:rPr>
          <w:b/>
          <w:bCs/>
        </w:rPr>
        <w:t xml:space="preserve">Shares → Block (iSCSI) Shares Targets</w:t>
      </w:r>
      <w:r>
        <w:t xml:space="preserve"> and open the </w:t>
      </w:r>
      <w:r>
        <w:rPr>
          <w:b/>
          <w:bCs/>
        </w:rPr>
        <w:t xml:space="preserve">Targets</w:t>
      </w:r>
      <w:r>
        <w:t xml:space="preserve"> tab.</w:t>
      </w:r>
      <w:r/>
    </w:p>
    <w:p>
      <w:pPr>
        <w:pStyle w:val="819"/>
        <w:numPr>
          <w:ilvl w:val="0"/>
          <w:numId w:val="57"/>
        </w:numPr>
        <w:pBdr/>
        <w:spacing/>
        <w:ind/>
        <w:rPr/>
      </w:pPr>
      <w:r>
        <w:t xml:space="preserve">Confirm that the target </w:t>
      </w:r>
      <w:r>
        <w:rPr>
          <w:rFonts w:ascii="Consolas" w:hAnsi="Consolas" w:eastAsia="Consolas" w:cs="Consolas"/>
          <w:sz w:val="22"/>
          <w:szCs w:val="22"/>
        </w:rPr>
        <w:t xml:space="preserve">vmware</w:t>
      </w:r>
      <w:r>
        <w:t xml:space="preserve"> exists and has at least one associated extent.</w:t>
      </w:r>
      <w:r/>
    </w:p>
    <w:p>
      <w:pPr>
        <w:pStyle w:val="830"/>
        <w:pBdr/>
        <w:spacing/>
        <w:ind/>
        <w:rPr/>
      </w:pPr>
      <w:r>
        <w:t xml:space="preserve">Step 1.3 — Provision the Zvol for ESXi</w:t>
      </w:r>
      <w:r/>
    </w:p>
    <w:p>
      <w:pPr>
        <w:pStyle w:val="819"/>
        <w:numPr>
          <w:ilvl w:val="0"/>
          <w:numId w:val="58"/>
        </w:numPr>
        <w:pBdr/>
        <w:spacing/>
        <w:ind/>
        <w:rPr/>
      </w:pPr>
      <w:r>
        <w:t xml:space="preserve">Under </w:t>
      </w:r>
      <w:r>
        <w:rPr>
          <w:b/>
          <w:bCs/>
        </w:rPr>
        <w:t xml:space="preserve">Datasets</w:t>
      </w:r>
      <w:r>
        <w:t xml:space="preserve">, size the zvol </w:t>
      </w:r>
      <w:r>
        <w:rPr>
          <w:rFonts w:ascii="Consolas" w:hAnsi="Consolas" w:eastAsia="Consolas" w:cs="Consolas"/>
          <w:sz w:val="22"/>
          <w:szCs w:val="22"/>
        </w:rPr>
        <w:t xml:space="preserve">vmware-esxi</w:t>
      </w:r>
      <w:r>
        <w:t xml:space="preserve"> in the </w:t>
      </w:r>
      <w:r>
        <w:rPr>
          <w:rFonts w:ascii="Consolas" w:hAnsi="Consolas" w:eastAsia="Consolas" w:cs="Consolas"/>
          <w:sz w:val="22"/>
          <w:szCs w:val="22"/>
        </w:rPr>
        <w:t xml:space="preserve">areca_raid5</w:t>
      </w:r>
      <w:r>
        <w:t xml:space="preserve"> pool to a reasonable value. In this project the original 80 MiB zvol was too small for VMFS and was resized to 80 GiB.</w:t>
      </w:r>
      <w:r/>
    </w:p>
    <w:p>
      <w:pPr>
        <w:pBdr>
          <w:top w:val="single" w:color="2e74b5" w:sz="6" w:space="0"/>
          <w:left w:val="single" w:color="2e74b5" w:sz="18" w:space="0"/>
          <w:bottom w:val="single" w:color="2e74b5" w:sz="6" w:space="0"/>
          <w:right w:val="single" w:color="2e74b5" w:sz="6" w:space="0"/>
        </w:pBdr>
        <w:shd w:val="clear" w:color="auto" w:fill="eaf1fb"/>
        <w:spacing w:after="150" w:before="150"/>
        <w:ind/>
        <w:rPr/>
      </w:pPr>
      <w:r>
        <w:rPr>
          <w:b/>
          <w:bCs/>
          <w:color w:val="1f3864"/>
        </w:rPr>
        <w:t xml:space="preserve">Minimum VMFS size: </w:t>
      </w:r>
      <w:r>
        <w:t xml:space="preserve">A </w:t>
      </w:r>
      <w:r>
        <w:t xml:space="preserve">VMFS-6 volume requires approximately 1.3 GB of available space at minimum. When working on a shared NAS, always agree changes with the administrator and prefer creating a dedicated zvol with a user-specific name prefix rather than modifying existing zvols.</w:t>
      </w:r>
      <w:r/>
    </w:p>
    <w:p>
      <w:pPr>
        <w:pStyle w:val="830"/>
        <w:pBdr/>
        <w:spacing/>
        <w:ind/>
        <w:rPr/>
      </w:pPr>
      <w:r>
        <w:t xml:space="preserve">Step 1.4 — Connection Parameters</w:t>
      </w:r>
      <w:r/>
    </w:p>
    <w:tbl>
      <w:tblPr>
        <w:tblW w:w="936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120"/>
        <w:gridCol w:w="6240"/>
      </w:tblGrid>
      <w:tr>
        <w:trPr/>
        <w:tc>
          <w:tcPr>
            <w:shd w:val="clear" w:color="auto" w:fill="2e74b5"/>
            <w:tcBorders>
              <w:top w:val="single" w:color="cccccc" w:sz="4" w:space="0"/>
              <w:left w:val="single" w:color="cccccc" w:sz="4" w:space="0"/>
              <w:bottom w:val="single" w:color="cccccc" w:sz="4" w:space="0"/>
              <w:right w:val="single" w:color="cccccc" w:sz="4" w:space="0"/>
            </w:tcBorders>
            <w:tcMar>
              <w:left w:w="120" w:type="dxa"/>
              <w:top w:w="80" w:type="dxa"/>
              <w:right w:w="120" w:type="dxa"/>
              <w:bottom w:w="80" w:type="dxa"/>
            </w:tcMar>
            <w:tcW w:w="3120" w:type="dxa"/>
            <w:textDirection w:val="lrTb"/>
            <w:noWrap w:val="false"/>
          </w:tcPr>
          <w:p>
            <w:pPr>
              <w:pBdr/>
              <w:spacing/>
              <w:ind/>
              <w:rPr/>
            </w:pPr>
            <w:r>
              <w:rPr>
                <w:b/>
                <w:bCs/>
                <w:color w:val="ffffff"/>
              </w:rPr>
              <w:t xml:space="preserve">Parameter</w:t>
            </w:r>
            <w:r/>
          </w:p>
        </w:tc>
        <w:tc>
          <w:tcPr>
            <w:shd w:val="clear" w:color="auto" w:fill="2e74b5"/>
            <w:tcBorders>
              <w:top w:val="single" w:color="cccccc" w:sz="4" w:space="0"/>
              <w:left w:val="single" w:color="cccccc" w:sz="4" w:space="0"/>
              <w:bottom w:val="single" w:color="cccccc" w:sz="4" w:space="0"/>
              <w:right w:val="single" w:color="cccccc" w:sz="4" w:space="0"/>
            </w:tcBorders>
            <w:tcMar>
              <w:left w:w="120" w:type="dxa"/>
              <w:top w:w="80" w:type="dxa"/>
              <w:right w:w="120" w:type="dxa"/>
              <w:bottom w:w="80" w:type="dxa"/>
            </w:tcMar>
            <w:tcW w:w="6240" w:type="dxa"/>
            <w:textDirection w:val="lrTb"/>
            <w:noWrap w:val="false"/>
          </w:tcPr>
          <w:p>
            <w:pPr>
              <w:pBdr/>
              <w:spacing/>
              <w:ind/>
              <w:rPr/>
            </w:pPr>
            <w:r>
              <w:rPr>
                <w:b/>
                <w:bCs/>
                <w:color w:val="ffffff"/>
              </w:rPr>
              <w:t xml:space="preserve">Value</w:t>
            </w:r>
            <w:r/>
          </w:p>
        </w:tc>
      </w:tr>
      <w:tr>
        <w:trPr/>
        <w:tc>
          <w:tcPr>
            <w:tcBorders>
              <w:top w:val="single" w:color="cccccc" w:sz="4" w:space="0"/>
              <w:left w:val="single" w:color="cccccc" w:sz="4" w:space="0"/>
              <w:bottom w:val="single" w:color="cccccc" w:sz="4" w:space="0"/>
              <w:right w:val="single" w:color="cccccc" w:sz="4" w:space="0"/>
            </w:tcBorders>
            <w:tcMar>
              <w:left w:w="120" w:type="dxa"/>
              <w:top w:w="80" w:type="dxa"/>
              <w:right w:w="120" w:type="dxa"/>
              <w:bottom w:w="80" w:type="dxa"/>
            </w:tcMar>
            <w:tcW w:w="3120" w:type="dxa"/>
            <w:textDirection w:val="lrTb"/>
            <w:noWrap w:val="false"/>
          </w:tcPr>
          <w:p>
            <w:pPr>
              <w:pBdr/>
              <w:spacing/>
              <w:ind/>
              <w:rPr/>
            </w:pPr>
            <w:r>
              <w:rPr>
                <w:b w:val="0"/>
                <w:bCs w:val="0"/>
              </w:rPr>
              <w:t xml:space="preserve">TrueNAS IP</w:t>
            </w:r>
            <w:r/>
          </w:p>
        </w:tc>
        <w:tc>
          <w:tcPr>
            <w:tcBorders>
              <w:top w:val="single" w:color="cccccc" w:sz="4" w:space="0"/>
              <w:left w:val="single" w:color="cccccc" w:sz="4" w:space="0"/>
              <w:bottom w:val="single" w:color="cccccc" w:sz="4" w:space="0"/>
              <w:right w:val="single" w:color="cccccc" w:sz="4" w:space="0"/>
            </w:tcBorders>
            <w:tcMar>
              <w:left w:w="120" w:type="dxa"/>
              <w:top w:w="80" w:type="dxa"/>
              <w:right w:w="120" w:type="dxa"/>
              <w:bottom w:w="80" w:type="dxa"/>
            </w:tcMar>
            <w:tcW w:w="6240" w:type="dxa"/>
            <w:textDirection w:val="lrTb"/>
            <w:noWrap w:val="false"/>
          </w:tcPr>
          <w:p>
            <w:pPr>
              <w:pBdr/>
              <w:spacing/>
              <w:ind/>
              <w:rPr/>
            </w:pPr>
            <w:r>
              <w:rPr>
                <w:b w:val="0"/>
                <w:bCs w:val="0"/>
              </w:rPr>
              <w:t xml:space="preserve">10.0.13.3</w:t>
            </w:r>
            <w:r/>
          </w:p>
        </w:tc>
      </w:tr>
      <w:tr>
        <w:trPr/>
        <w:tc>
          <w:tcPr>
            <w:tcBorders>
              <w:top w:val="single" w:color="cccccc" w:sz="4" w:space="0"/>
              <w:left w:val="single" w:color="cccccc" w:sz="4" w:space="0"/>
              <w:bottom w:val="single" w:color="cccccc" w:sz="4" w:space="0"/>
              <w:right w:val="single" w:color="cccccc" w:sz="4" w:space="0"/>
            </w:tcBorders>
            <w:tcMar>
              <w:left w:w="120" w:type="dxa"/>
              <w:top w:w="80" w:type="dxa"/>
              <w:right w:w="120" w:type="dxa"/>
              <w:bottom w:w="80" w:type="dxa"/>
            </w:tcMar>
            <w:tcW w:w="3120" w:type="dxa"/>
            <w:textDirection w:val="lrTb"/>
            <w:noWrap w:val="false"/>
          </w:tcPr>
          <w:p>
            <w:pPr>
              <w:pBdr/>
              <w:spacing/>
              <w:ind/>
              <w:rPr/>
            </w:pPr>
            <w:r>
              <w:rPr>
                <w:b w:val="0"/>
                <w:bCs w:val="0"/>
              </w:rPr>
              <w:t xml:space="preserve">iSCSI Port</w:t>
            </w:r>
            <w:r/>
          </w:p>
        </w:tc>
        <w:tc>
          <w:tcPr>
            <w:tcBorders>
              <w:top w:val="single" w:color="cccccc" w:sz="4" w:space="0"/>
              <w:left w:val="single" w:color="cccccc" w:sz="4" w:space="0"/>
              <w:bottom w:val="single" w:color="cccccc" w:sz="4" w:space="0"/>
              <w:right w:val="single" w:color="cccccc" w:sz="4" w:space="0"/>
            </w:tcBorders>
            <w:tcMar>
              <w:left w:w="120" w:type="dxa"/>
              <w:top w:w="80" w:type="dxa"/>
              <w:right w:w="120" w:type="dxa"/>
              <w:bottom w:w="80" w:type="dxa"/>
            </w:tcMar>
            <w:tcW w:w="6240" w:type="dxa"/>
            <w:textDirection w:val="lrTb"/>
            <w:noWrap w:val="false"/>
          </w:tcPr>
          <w:p>
            <w:pPr>
              <w:pBdr/>
              <w:spacing/>
              <w:ind/>
              <w:rPr/>
            </w:pPr>
            <w:r>
              <w:rPr>
                <w:b w:val="0"/>
                <w:bCs w:val="0"/>
              </w:rPr>
              <w:t xml:space="preserve">3260</w:t>
            </w:r>
            <w:r/>
          </w:p>
        </w:tc>
      </w:tr>
      <w:tr>
        <w:trPr/>
        <w:tc>
          <w:tcPr>
            <w:tcBorders>
              <w:top w:val="single" w:color="cccccc" w:sz="4" w:space="0"/>
              <w:left w:val="single" w:color="cccccc" w:sz="4" w:space="0"/>
              <w:bottom w:val="single" w:color="cccccc" w:sz="4" w:space="0"/>
              <w:right w:val="single" w:color="cccccc" w:sz="4" w:space="0"/>
            </w:tcBorders>
            <w:tcMar>
              <w:left w:w="120" w:type="dxa"/>
              <w:top w:w="80" w:type="dxa"/>
              <w:right w:w="120" w:type="dxa"/>
              <w:bottom w:w="80" w:type="dxa"/>
            </w:tcMar>
            <w:tcW w:w="3120" w:type="dxa"/>
            <w:textDirection w:val="lrTb"/>
            <w:noWrap w:val="false"/>
          </w:tcPr>
          <w:p>
            <w:pPr>
              <w:pBdr/>
              <w:spacing/>
              <w:ind/>
              <w:rPr/>
            </w:pPr>
            <w:r>
              <w:rPr>
                <w:b w:val="0"/>
                <w:bCs w:val="0"/>
              </w:rPr>
              <w:t xml:space="preserve">Target Base IQN</w:t>
            </w:r>
            <w:r/>
          </w:p>
        </w:tc>
        <w:tc>
          <w:tcPr>
            <w:tcBorders>
              <w:top w:val="single" w:color="cccccc" w:sz="4" w:space="0"/>
              <w:left w:val="single" w:color="cccccc" w:sz="4" w:space="0"/>
              <w:bottom w:val="single" w:color="cccccc" w:sz="4" w:space="0"/>
              <w:right w:val="single" w:color="cccccc" w:sz="4" w:space="0"/>
            </w:tcBorders>
            <w:tcMar>
              <w:left w:w="120" w:type="dxa"/>
              <w:top w:w="80" w:type="dxa"/>
              <w:right w:w="120" w:type="dxa"/>
              <w:bottom w:w="80" w:type="dxa"/>
            </w:tcMar>
            <w:tcW w:w="6240" w:type="dxa"/>
            <w:textDirection w:val="lrTb"/>
            <w:noWrap w:val="false"/>
          </w:tcPr>
          <w:p>
            <w:pPr>
              <w:pBdr/>
              <w:spacing/>
              <w:ind/>
              <w:rPr/>
            </w:pPr>
            <w:r>
              <w:rPr>
                <w:b w:val="0"/>
                <w:bCs w:val="0"/>
              </w:rPr>
              <w:t xml:space="preserve">iqn.2005-10.org.freenas.ctl</w:t>
            </w:r>
            <w:r/>
          </w:p>
        </w:tc>
      </w:tr>
      <w:tr>
        <w:trPr/>
        <w:tc>
          <w:tcPr>
            <w:tcBorders>
              <w:top w:val="single" w:color="cccccc" w:sz="4" w:space="0"/>
              <w:left w:val="single" w:color="cccccc" w:sz="4" w:space="0"/>
              <w:bottom w:val="single" w:color="cccccc" w:sz="4" w:space="0"/>
              <w:right w:val="single" w:color="cccccc" w:sz="4" w:space="0"/>
            </w:tcBorders>
            <w:tcMar>
              <w:left w:w="120" w:type="dxa"/>
              <w:top w:w="80" w:type="dxa"/>
              <w:right w:w="120" w:type="dxa"/>
              <w:bottom w:w="80" w:type="dxa"/>
            </w:tcMar>
            <w:tcW w:w="3120" w:type="dxa"/>
            <w:textDirection w:val="lrTb"/>
            <w:noWrap w:val="false"/>
          </w:tcPr>
          <w:p>
            <w:pPr>
              <w:pBdr/>
              <w:spacing/>
              <w:ind/>
              <w:rPr/>
            </w:pPr>
            <w:r>
              <w:rPr>
                <w:b w:val="0"/>
                <w:bCs w:val="0"/>
              </w:rPr>
              <w:t xml:space="preserve">Target Name</w:t>
            </w:r>
            <w:r/>
          </w:p>
        </w:tc>
        <w:tc>
          <w:tcPr>
            <w:tcBorders>
              <w:top w:val="single" w:color="cccccc" w:sz="4" w:space="0"/>
              <w:left w:val="single" w:color="cccccc" w:sz="4" w:space="0"/>
              <w:bottom w:val="single" w:color="cccccc" w:sz="4" w:space="0"/>
              <w:right w:val="single" w:color="cccccc" w:sz="4" w:space="0"/>
            </w:tcBorders>
            <w:tcMar>
              <w:left w:w="120" w:type="dxa"/>
              <w:top w:w="80" w:type="dxa"/>
              <w:right w:w="120" w:type="dxa"/>
              <w:bottom w:w="80" w:type="dxa"/>
            </w:tcMar>
            <w:tcW w:w="6240" w:type="dxa"/>
            <w:textDirection w:val="lrTb"/>
            <w:noWrap w:val="false"/>
          </w:tcPr>
          <w:p>
            <w:pPr>
              <w:pBdr/>
              <w:spacing/>
              <w:ind/>
              <w:rPr/>
            </w:pPr>
            <w:r>
              <w:rPr>
                <w:b w:val="0"/>
                <w:bCs w:val="0"/>
              </w:rPr>
              <w:t xml:space="preserve">vmware</w:t>
            </w:r>
            <w:r/>
          </w:p>
        </w:tc>
      </w:tr>
      <w:tr>
        <w:trPr/>
        <w:tc>
          <w:tcPr>
            <w:tcBorders>
              <w:top w:val="single" w:color="cccccc" w:sz="4" w:space="0"/>
              <w:left w:val="single" w:color="cccccc" w:sz="4" w:space="0"/>
              <w:bottom w:val="single" w:color="cccccc" w:sz="4" w:space="0"/>
              <w:right w:val="single" w:color="cccccc" w:sz="4" w:space="0"/>
            </w:tcBorders>
            <w:tcMar>
              <w:left w:w="120" w:type="dxa"/>
              <w:top w:w="80" w:type="dxa"/>
              <w:right w:w="120" w:type="dxa"/>
              <w:bottom w:w="80" w:type="dxa"/>
            </w:tcMar>
            <w:tcW w:w="3120" w:type="dxa"/>
            <w:textDirection w:val="lrTb"/>
            <w:noWrap w:val="false"/>
          </w:tcPr>
          <w:p>
            <w:pPr>
              <w:pBdr/>
              <w:spacing/>
              <w:ind/>
              <w:rPr/>
            </w:pPr>
            <w:r>
              <w:rPr>
                <w:b w:val="0"/>
                <w:bCs w:val="0"/>
              </w:rPr>
              <w:t xml:space="preserve">LUN</w:t>
            </w:r>
            <w:r/>
          </w:p>
        </w:tc>
        <w:tc>
          <w:tcPr>
            <w:tcBorders>
              <w:top w:val="single" w:color="cccccc" w:sz="4" w:space="0"/>
              <w:left w:val="single" w:color="cccccc" w:sz="4" w:space="0"/>
              <w:bottom w:val="single" w:color="cccccc" w:sz="4" w:space="0"/>
              <w:right w:val="single" w:color="cccccc" w:sz="4" w:space="0"/>
            </w:tcBorders>
            <w:tcMar>
              <w:left w:w="120" w:type="dxa"/>
              <w:top w:w="80" w:type="dxa"/>
              <w:right w:w="120" w:type="dxa"/>
              <w:bottom w:w="80" w:type="dxa"/>
            </w:tcMar>
            <w:tcW w:w="6240" w:type="dxa"/>
            <w:textDirection w:val="lrTb"/>
            <w:noWrap w:val="false"/>
          </w:tcPr>
          <w:p>
            <w:pPr>
              <w:pBdr/>
              <w:spacing/>
              <w:ind/>
              <w:rPr/>
            </w:pPr>
            <w:r>
              <w:rPr>
                <w:b w:val="0"/>
                <w:bCs w:val="0"/>
              </w:rPr>
              <w:t xml:space="preserve">1 (zvol vmware-esxi, 80 GiB)</w:t>
            </w:r>
            <w:r/>
          </w:p>
        </w:tc>
      </w:tr>
    </w:tbl>
    <w:p>
      <w:pPr>
        <w:pBdr/>
        <w:spacing/>
        <w:ind/>
        <w:rPr/>
      </w:pPr>
      <w:r/>
      <w:r/>
    </w:p>
    <w:p>
      <w:pPr>
        <w:pStyle w:val="829"/>
        <w:pBdr/>
        <w:spacing/>
        <w:ind/>
        <w:rPr/>
      </w:pPr>
      <w:r>
        <w:t xml:space="preserve">Phase 2 — Configuration on ESXi (vSphere Client)</w:t>
      </w:r>
      <w:r/>
    </w:p>
    <w:p>
      <w:pPr>
        <w:pStyle w:val="830"/>
        <w:pBdr/>
        <w:spacing/>
        <w:ind/>
        <w:rPr/>
      </w:pPr>
      <w:r>
        <w:t xml:space="preserve">Step 2.1 — Enable the Software iSCSI Adapter</w:t>
      </w:r>
      <w:r/>
    </w:p>
    <w:p>
      <w:pPr>
        <w:pStyle w:val="819"/>
        <w:numPr>
          <w:ilvl w:val="0"/>
          <w:numId w:val="59"/>
        </w:numPr>
        <w:pBdr/>
        <w:spacing/>
        <w:ind/>
        <w:rPr/>
      </w:pPr>
      <w:r>
        <w:t xml:space="preserve">Open the vSphere Client at </w:t>
      </w:r>
      <w:r>
        <w:rPr>
          <w:rFonts w:ascii="Consolas" w:hAnsi="Consolas" w:eastAsia="Consolas" w:cs="Consolas"/>
          <w:sz w:val="22"/>
          <w:szCs w:val="22"/>
        </w:rPr>
        <w:t xml:space="preserve">https://10.0.10.119/ui</w:t>
      </w:r>
      <w:r>
        <w:t xml:space="preserve">.</w:t>
      </w:r>
      <w:r/>
    </w:p>
    <w:p>
      <w:pPr>
        <w:pStyle w:val="819"/>
        <w:numPr>
          <w:ilvl w:val="0"/>
          <w:numId w:val="59"/>
        </w:numPr>
        <w:pBdr/>
        <w:spacing/>
        <w:ind/>
        <w:rPr/>
      </w:pPr>
      <w:r>
        <w:t xml:space="preserve">Navigate to </w:t>
      </w:r>
      <w:r>
        <w:rPr>
          <w:b/>
          <w:bCs/>
        </w:rPr>
        <w:t xml:space="preserve">Hosts and Clusters</w:t>
      </w:r>
      <w:r>
        <w:t xml:space="preserve"> and select the ESXi host.</w:t>
      </w:r>
      <w:r/>
    </w:p>
    <w:p>
      <w:pPr>
        <w:pStyle w:val="819"/>
        <w:numPr>
          <w:ilvl w:val="0"/>
          <w:numId w:val="59"/>
        </w:numPr>
        <w:pBdr/>
        <w:spacing/>
        <w:ind/>
        <w:rPr/>
      </w:pPr>
      <w:r>
        <w:t xml:space="preserve">Open the </w:t>
      </w:r>
      <w:r>
        <w:rPr>
          <w:b/>
          <w:bCs/>
        </w:rPr>
        <w:t xml:space="preserve">Configure</w:t>
      </w:r>
      <w:r>
        <w:t xml:space="preserve"> tab and navigate to </w:t>
      </w:r>
      <w:r>
        <w:rPr>
          <w:b/>
          <w:bCs/>
        </w:rPr>
        <w:t xml:space="preserve">Storage → Storage Adapters</w:t>
      </w:r>
      <w:r>
        <w:t xml:space="preserve">.</w:t>
      </w:r>
      <w:r/>
    </w:p>
    <w:p>
      <w:pPr>
        <w:pStyle w:val="819"/>
        <w:numPr>
          <w:ilvl w:val="0"/>
          <w:numId w:val="59"/>
        </w:numPr>
        <w:pBdr/>
        <w:spacing/>
        <w:ind/>
        <w:rPr/>
      </w:pPr>
      <w:r>
        <w:t xml:space="preserve">Click </w:t>
      </w:r>
      <w:r>
        <w:rPr>
          <w:b/>
          <w:bCs/>
        </w:rPr>
        <w:t xml:space="preserve">ADD SOFTWARE ADAPTER → Add iSCSI adapter</w:t>
      </w:r>
      <w:r>
        <w:t xml:space="preserve"> → OK.</w:t>
      </w:r>
      <w:r/>
    </w:p>
    <w:p>
      <w:pPr>
        <w:pBdr/>
        <w:spacing w:after="120"/>
        <w:ind/>
        <w:rPr/>
      </w:pPr>
      <w:r>
        <w:t xml:space="preserve">A new adapter (typically vmhbaXX of type "iSCSI Software Adapter") appears in the list.</w:t>
      </w:r>
      <w:r/>
    </w:p>
    <w:p>
      <w:pPr>
        <w:pStyle w:val="830"/>
        <w:pBdr/>
        <w:spacing/>
        <w:ind/>
        <w:rPr/>
      </w:pPr>
      <w:r>
        <w:t xml:space="preserve">Step 2.2 — Configure Dynamic Discovery</w:t>
      </w:r>
      <w:r/>
    </w:p>
    <w:p>
      <w:pPr>
        <w:pStyle w:val="819"/>
        <w:numPr>
          <w:ilvl w:val="0"/>
          <w:numId w:val="60"/>
        </w:numPr>
        <w:pBdr/>
        <w:spacing/>
        <w:ind/>
        <w:rPr/>
      </w:pPr>
      <w:r>
        <w:t xml:space="preserve">Select the new iSCSI adapter.</w:t>
      </w:r>
      <w:r/>
    </w:p>
    <w:p>
      <w:pPr>
        <w:pStyle w:val="819"/>
        <w:numPr>
          <w:ilvl w:val="0"/>
          <w:numId w:val="60"/>
        </w:numPr>
        <w:pBdr/>
        <w:spacing/>
        <w:ind/>
        <w:rPr/>
      </w:pPr>
      <w:r>
        <w:t xml:space="preserve">In the lower details pane, open the </w:t>
      </w:r>
      <w:r>
        <w:rPr>
          <w:b/>
          <w:bCs/>
        </w:rPr>
        <w:t xml:space="preserve">Dynamic Discovery</w:t>
      </w:r>
      <w:r>
        <w:t xml:space="preserve"> tab and click </w:t>
      </w:r>
      <w:r>
        <w:rPr>
          <w:b/>
          <w:bCs/>
        </w:rPr>
        <w:t xml:space="preserve">ADD</w:t>
      </w:r>
      <w:r>
        <w:t xml:space="preserve">.</w:t>
      </w:r>
      <w:r/>
    </w:p>
    <w:p>
      <w:pPr>
        <w:pStyle w:val="819"/>
        <w:numPr>
          <w:ilvl w:val="0"/>
          <w:numId w:val="60"/>
        </w:numPr>
        <w:pBdr/>
        <w:spacing/>
        <w:ind/>
        <w:rPr/>
      </w:pPr>
      <w:r>
        <w:t xml:space="preserve">Enter the following values:</w:t>
      </w:r>
      <w:r/>
    </w:p>
    <w:p>
      <w:pPr>
        <w:pStyle w:val="819"/>
        <w:numPr>
          <w:ilvl w:val="0"/>
          <w:numId w:val="2"/>
        </w:numPr>
        <w:pBdr/>
        <w:spacing/>
        <w:ind/>
        <w:rPr/>
      </w:pPr>
      <w:r>
        <w:rPr>
          <w:b/>
          <w:bCs/>
        </w:rPr>
        <w:t xml:space="preserve">iSCSI Server: </w:t>
      </w:r>
      <w:r>
        <w:rPr>
          <w:rFonts w:ascii="Consolas" w:hAnsi="Consolas" w:eastAsia="Consolas" w:cs="Consolas"/>
          <w:sz w:val="22"/>
          <w:szCs w:val="22"/>
        </w:rPr>
        <w:t xml:space="preserve">10.0.13.3</w:t>
      </w:r>
      <w:r/>
    </w:p>
    <w:p>
      <w:pPr>
        <w:pStyle w:val="819"/>
        <w:numPr>
          <w:ilvl w:val="0"/>
          <w:numId w:val="2"/>
        </w:numPr>
        <w:pBdr/>
        <w:spacing/>
        <w:ind/>
        <w:rPr/>
      </w:pPr>
      <w:r>
        <w:rPr>
          <w:b/>
          <w:bCs/>
        </w:rPr>
        <w:t xml:space="preserve">Port: </w:t>
      </w:r>
      <w:r>
        <w:rPr>
          <w:rFonts w:ascii="Consolas" w:hAnsi="Consolas" w:eastAsia="Consolas" w:cs="Consolas"/>
          <w:sz w:val="22"/>
          <w:szCs w:val="22"/>
        </w:rPr>
        <w:t xml:space="preserve">3260</w:t>
      </w:r>
      <w:r/>
    </w:p>
    <w:p>
      <w:pPr>
        <w:pStyle w:val="819"/>
        <w:numPr>
          <w:ilvl w:val="0"/>
          <w:numId w:val="2"/>
        </w:numPr>
        <w:pBdr/>
        <w:spacing/>
        <w:ind/>
        <w:rPr/>
      </w:pPr>
      <w:r>
        <w:rPr>
          <w:b/>
          <w:bCs/>
        </w:rPr>
        <w:t xml:space="preserve">Authentication: </w:t>
      </w:r>
      <w:r>
        <w:t xml:space="preserve">Inherit from parent (no CHAP).</w:t>
      </w:r>
      <w:r/>
    </w:p>
    <w:p>
      <w:pPr>
        <w:pStyle w:val="819"/>
        <w:numPr>
          <w:ilvl w:val="0"/>
          <w:numId w:val="60"/>
        </w:numPr>
        <w:pBdr/>
        <w:spacing/>
        <w:ind/>
        <w:rPr/>
      </w:pPr>
      <w:r>
        <w:t xml:space="preserve">Click OK.</w:t>
      </w:r>
      <w:r/>
    </w:p>
    <w:p>
      <w:pPr>
        <w:pStyle w:val="830"/>
        <w:pBdr/>
        <w:spacing/>
        <w:ind/>
        <w:rPr/>
      </w:pPr>
      <w:r>
        <w:t xml:space="preserve">Step 2.3 — Storage Rescan</w:t>
      </w:r>
      <w:r/>
    </w:p>
    <w:p>
      <w:pPr>
        <w:pStyle w:val="819"/>
        <w:numPr>
          <w:ilvl w:val="0"/>
          <w:numId w:val="61"/>
        </w:numPr>
        <w:pBdr/>
        <w:spacing/>
        <w:ind/>
        <w:rPr/>
      </w:pPr>
      <w:r>
        <w:t xml:space="preserve">Click </w:t>
      </w:r>
      <w:r>
        <w:rPr>
          <w:b/>
          <w:bCs/>
        </w:rPr>
        <w:t xml:space="preserve">RESCAN STORAGE…</w:t>
      </w:r>
      <w:r>
        <w:t xml:space="preserve"> at the top of the Storage Adapters view, keep both options enabled, and confirm with OK.</w:t>
      </w:r>
      <w:r/>
    </w:p>
    <w:p>
      <w:pPr>
        <w:pBdr/>
        <w:spacing w:after="120"/>
        <w:ind/>
        <w:rPr/>
      </w:pPr>
      <w:r>
        <w:t xml:space="preserve">Monitor progress in the Recent Tasks panel.</w:t>
      </w:r>
      <w:r/>
    </w:p>
    <w:p>
      <w:pPr>
        <w:pStyle w:val="830"/>
        <w:pBdr/>
        <w:spacing/>
        <w:ind/>
        <w:rPr/>
      </w:pPr>
      <w:r>
        <w:t xml:space="preserve">Step 2.4 — Verify Storage Devices</w:t>
      </w:r>
      <w:r/>
    </w:p>
    <w:p>
      <w:pPr>
        <w:pStyle w:val="819"/>
        <w:numPr>
          <w:ilvl w:val="0"/>
          <w:numId w:val="62"/>
        </w:numPr>
        <w:pBdr/>
        <w:spacing/>
        <w:ind/>
        <w:rPr/>
      </w:pPr>
      <w:r>
        <w:t xml:space="preserve">In the Configure menu, click </w:t>
      </w:r>
      <w:r>
        <w:rPr>
          <w:b/>
          <w:bCs/>
        </w:rPr>
        <w:t xml:space="preserve">Storage Devices</w:t>
      </w:r>
      <w:r>
        <w:t xml:space="preserve">.</w:t>
      </w:r>
      <w:r/>
    </w:p>
    <w:p>
      <w:pPr>
        <w:pBdr/>
        <w:spacing w:after="120"/>
        <w:ind/>
        <w:rPr/>
      </w:pPr>
      <w:r>
        <w:t xml:space="preserve">A new TrueNAS iSCSI Disk should be visible with the configured size (80 GiB) and status "Not Consumed".</w:t>
      </w:r>
      <w:r/>
    </w:p>
    <w:p>
      <w:pPr>
        <w:pStyle w:val="830"/>
        <w:pBdr/>
        <w:spacing/>
        <w:ind/>
        <w:rPr/>
      </w:pPr>
      <w:r>
        <w:t xml:space="preserve">Step 2.5 — Create the VMFS Datastore</w:t>
      </w:r>
      <w:r/>
    </w:p>
    <w:p>
      <w:pPr>
        <w:pStyle w:val="819"/>
        <w:numPr>
          <w:ilvl w:val="0"/>
          <w:numId w:val="63"/>
        </w:numPr>
        <w:pBdr/>
        <w:spacing/>
        <w:ind/>
        <w:rPr/>
      </w:pPr>
      <w:r>
        <w:t xml:space="preserve">Right-click the ESXi host → </w:t>
      </w:r>
      <w:r>
        <w:rPr>
          <w:b/>
          <w:bCs/>
        </w:rPr>
        <w:t xml:space="preserve">Storage → New Datastore…</w:t>
      </w:r>
      <w:r>
        <w:t xml:space="preserve">.</w:t>
      </w:r>
      <w:r/>
    </w:p>
    <w:p>
      <w:pPr>
        <w:pStyle w:val="819"/>
        <w:numPr>
          <w:ilvl w:val="0"/>
          <w:numId w:val="63"/>
        </w:numPr>
        <w:pBdr/>
        <w:spacing/>
        <w:ind/>
        <w:rPr/>
      </w:pPr>
      <w:r>
        <w:t xml:space="preserve">Choose Type: VMFS → Next.</w:t>
      </w:r>
      <w:r/>
    </w:p>
    <w:p>
      <w:pPr>
        <w:pStyle w:val="819"/>
        <w:numPr>
          <w:ilvl w:val="0"/>
          <w:numId w:val="63"/>
        </w:numPr>
        <w:pBdr/>
        <w:spacing/>
        <w:ind/>
        <w:rPr/>
      </w:pPr>
      <w:r>
        <w:t xml:space="preserve">Enter the name (e.g. </w:t>
      </w:r>
      <w:r>
        <w:rPr>
          <w:rFonts w:ascii="Consolas" w:hAnsi="Consolas" w:eastAsia="Consolas" w:cs="Consolas"/>
          <w:sz w:val="22"/>
          <w:szCs w:val="22"/>
        </w:rPr>
        <w:t xml:space="preserve">iSCSI-Datastore-01</w:t>
      </w:r>
      <w:r>
        <w:t xml:space="preserve">), choose the host, and select the TrueNAS LUN → Next.</w:t>
      </w:r>
      <w:r/>
    </w:p>
    <w:p>
      <w:pPr>
        <w:pStyle w:val="819"/>
        <w:numPr>
          <w:ilvl w:val="0"/>
          <w:numId w:val="63"/>
        </w:numPr>
        <w:pBdr/>
        <w:spacing/>
        <w:ind/>
        <w:rPr/>
      </w:pPr>
      <w:r>
        <w:t xml:space="preserve">Select VMFS Version: VMFS 6 → Next.</w:t>
      </w:r>
      <w:r/>
    </w:p>
    <w:p>
      <w:pPr>
        <w:pStyle w:val="819"/>
        <w:numPr>
          <w:ilvl w:val="0"/>
          <w:numId w:val="63"/>
        </w:numPr>
        <w:pBdr/>
        <w:spacing/>
        <w:ind/>
        <w:rPr/>
      </w:pPr>
      <w:r>
        <w:t xml:space="preserve">Partition Configuration: Use all available partitions → Next.</w:t>
      </w:r>
      <w:r/>
    </w:p>
    <w:p>
      <w:pPr>
        <w:pStyle w:val="819"/>
        <w:numPr>
          <w:ilvl w:val="0"/>
          <w:numId w:val="63"/>
        </w:numPr>
        <w:pBdr/>
        <w:spacing/>
        <w:ind/>
        <w:rPr/>
      </w:pPr>
      <w:r>
        <w:t xml:space="preserve">Click Finish.</w:t>
      </w:r>
      <w:r/>
    </w:p>
    <w:p>
      <w:pPr>
        <w:pStyle w:val="830"/>
        <w:pBdr/>
        <w:spacing/>
        <w:ind/>
        <w:rPr/>
      </w:pPr>
      <w:r>
        <w:t xml:space="preserve">Step 2.6 — Functional Test via Storage Migration</w:t>
      </w:r>
      <w:r/>
    </w:p>
    <w:p>
      <w:pPr>
        <w:pStyle w:val="819"/>
        <w:numPr>
          <w:ilvl w:val="0"/>
          <w:numId w:val="64"/>
        </w:numPr>
        <w:pBdr/>
        <w:spacing/>
        <w:ind/>
        <w:rPr/>
      </w:pPr>
      <w:r>
        <w:t xml:space="preserve">Right-click an existing VM → </w:t>
      </w:r>
      <w:r>
        <w:rPr>
          <w:b/>
          <w:bCs/>
        </w:rPr>
        <w:t xml:space="preserve">Migrate…</w:t>
      </w:r>
      <w:r>
        <w:t xml:space="preserve">.</w:t>
      </w:r>
      <w:r/>
    </w:p>
    <w:p>
      <w:pPr>
        <w:pStyle w:val="819"/>
        <w:numPr>
          <w:ilvl w:val="0"/>
          <w:numId w:val="64"/>
        </w:numPr>
        <w:pBdr/>
        <w:spacing/>
        <w:ind/>
        <w:rPr/>
      </w:pPr>
      <w:r>
        <w:t xml:space="preserve">Migration Type: Change storage only → Next.</w:t>
      </w:r>
      <w:r/>
    </w:p>
    <w:p>
      <w:pPr>
        <w:pStyle w:val="819"/>
        <w:numPr>
          <w:ilvl w:val="0"/>
          <w:numId w:val="64"/>
        </w:numPr>
        <w:pBdr/>
        <w:spacing/>
        <w:ind/>
        <w:rPr/>
      </w:pPr>
      <w:r>
        <w:t xml:space="preserve">Target datastore: </w:t>
      </w:r>
      <w:r>
        <w:rPr>
          <w:rFonts w:ascii="Consolas" w:hAnsi="Consolas" w:eastAsia="Consolas" w:cs="Consolas"/>
          <w:sz w:val="22"/>
          <w:szCs w:val="22"/>
        </w:rPr>
        <w:t xml:space="preserve">iSCSI-Datastore-01</w:t>
      </w:r>
      <w:r>
        <w:t xml:space="preserve"> → Next → Finish.</w:t>
      </w:r>
      <w:r/>
    </w:p>
    <w:p>
      <w:pPr>
        <w:pStyle w:val="819"/>
        <w:numPr>
          <w:ilvl w:val="0"/>
          <w:numId w:val="64"/>
        </w:numPr>
        <w:pBdr/>
        <w:spacing/>
        <w:ind/>
        <w:rPr/>
      </w:pPr>
      <w:r>
        <w:t xml:space="preserve">Verify success in Recent Tasks and in the VM's Datastore column.</w:t>
      </w:r>
      <w:r/>
    </w:p>
    <w:p>
      <w:pPr>
        <w:pBdr/>
        <w:spacing/>
        <w:ind/>
        <w:rPr/>
      </w:pPr>
      <w:r/>
      <w:r/>
    </w:p>
    <w:p>
      <w:pPr>
        <w:pStyle w:val="829"/>
        <w:pBdr/>
        <w:spacing/>
        <w:ind/>
        <w:rPr/>
      </w:pPr>
      <w:r>
        <w:t xml:space="preserve">Verification</w:t>
      </w:r>
      <w:r/>
    </w:p>
    <w:tbl>
      <w:tblPr>
        <w:tblW w:w="936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120"/>
        <w:gridCol w:w="6240"/>
      </w:tblGrid>
      <w:tr>
        <w:trPr/>
        <w:tc>
          <w:tcPr>
            <w:shd w:val="clear" w:color="auto" w:fill="2e74b5"/>
            <w:tcBorders>
              <w:top w:val="single" w:color="cccccc" w:sz="4" w:space="0"/>
              <w:left w:val="single" w:color="cccccc" w:sz="4" w:space="0"/>
              <w:bottom w:val="single" w:color="cccccc" w:sz="4" w:space="0"/>
              <w:right w:val="single" w:color="cccccc" w:sz="4" w:space="0"/>
            </w:tcBorders>
            <w:tcMar>
              <w:left w:w="120" w:type="dxa"/>
              <w:top w:w="80" w:type="dxa"/>
              <w:right w:w="120" w:type="dxa"/>
              <w:bottom w:w="80" w:type="dxa"/>
            </w:tcMar>
            <w:tcW w:w="3120" w:type="dxa"/>
            <w:textDirection w:val="lrTb"/>
            <w:noWrap w:val="false"/>
          </w:tcPr>
          <w:p>
            <w:pPr>
              <w:pBdr/>
              <w:spacing/>
              <w:ind/>
              <w:rPr/>
            </w:pPr>
            <w:r>
              <w:rPr>
                <w:b/>
                <w:bCs/>
                <w:color w:val="ffffff"/>
              </w:rPr>
              <w:t xml:space="preserve">Check</w:t>
            </w:r>
            <w:r/>
          </w:p>
        </w:tc>
        <w:tc>
          <w:tcPr>
            <w:shd w:val="clear" w:color="auto" w:fill="2e74b5"/>
            <w:tcBorders>
              <w:top w:val="single" w:color="cccccc" w:sz="4" w:space="0"/>
              <w:left w:val="single" w:color="cccccc" w:sz="4" w:space="0"/>
              <w:bottom w:val="single" w:color="cccccc" w:sz="4" w:space="0"/>
              <w:right w:val="single" w:color="cccccc" w:sz="4" w:space="0"/>
            </w:tcBorders>
            <w:tcMar>
              <w:left w:w="120" w:type="dxa"/>
              <w:top w:w="80" w:type="dxa"/>
              <w:right w:w="120" w:type="dxa"/>
              <w:bottom w:w="80" w:type="dxa"/>
            </w:tcMar>
            <w:tcW w:w="6240" w:type="dxa"/>
            <w:textDirection w:val="lrTb"/>
            <w:noWrap w:val="false"/>
          </w:tcPr>
          <w:p>
            <w:pPr>
              <w:pBdr/>
              <w:spacing/>
              <w:ind/>
              <w:rPr/>
            </w:pPr>
            <w:r>
              <w:rPr>
                <w:b/>
                <w:bCs/>
                <w:color w:val="ffffff"/>
              </w:rPr>
              <w:t xml:space="preserve">Expected Result</w:t>
            </w:r>
            <w:r/>
          </w:p>
        </w:tc>
      </w:tr>
      <w:tr>
        <w:trPr/>
        <w:tc>
          <w:tcPr>
            <w:tcBorders>
              <w:top w:val="single" w:color="cccccc" w:sz="4" w:space="0"/>
              <w:left w:val="single" w:color="cccccc" w:sz="4" w:space="0"/>
              <w:bottom w:val="single" w:color="cccccc" w:sz="4" w:space="0"/>
              <w:right w:val="single" w:color="cccccc" w:sz="4" w:space="0"/>
            </w:tcBorders>
            <w:tcMar>
              <w:left w:w="120" w:type="dxa"/>
              <w:top w:w="80" w:type="dxa"/>
              <w:right w:w="120" w:type="dxa"/>
              <w:bottom w:w="80" w:type="dxa"/>
            </w:tcMar>
            <w:tcW w:w="3120" w:type="dxa"/>
            <w:textDirection w:val="lrTb"/>
            <w:noWrap w:val="false"/>
          </w:tcPr>
          <w:p>
            <w:pPr>
              <w:pBdr/>
              <w:spacing/>
              <w:ind/>
              <w:rPr/>
            </w:pPr>
            <w:r>
              <w:rPr>
                <w:b w:val="0"/>
                <w:bCs w:val="0"/>
              </w:rPr>
              <w:t xml:space="preserve">TrueNAS → iSCSI Connections</w:t>
            </w:r>
            <w:r/>
          </w:p>
        </w:tc>
        <w:tc>
          <w:tcPr>
            <w:tcBorders>
              <w:top w:val="single" w:color="cccccc" w:sz="4" w:space="0"/>
              <w:left w:val="single" w:color="cccccc" w:sz="4" w:space="0"/>
              <w:bottom w:val="single" w:color="cccccc" w:sz="4" w:space="0"/>
              <w:right w:val="single" w:color="cccccc" w:sz="4" w:space="0"/>
            </w:tcBorders>
            <w:tcMar>
              <w:left w:w="120" w:type="dxa"/>
              <w:top w:w="80" w:type="dxa"/>
              <w:right w:w="120" w:type="dxa"/>
              <w:bottom w:w="80" w:type="dxa"/>
            </w:tcMar>
            <w:tcW w:w="6240" w:type="dxa"/>
            <w:textDirection w:val="lrTb"/>
            <w:noWrap w:val="false"/>
          </w:tcPr>
          <w:p>
            <w:pPr>
              <w:pBdr/>
              <w:spacing/>
              <w:ind/>
              <w:rPr/>
            </w:pPr>
            <w:r>
              <w:rPr>
                <w:b w:val="0"/>
                <w:bCs w:val="0"/>
              </w:rPr>
              <w:t xml:space="preserve">Active ESXi initiator connection visible</w:t>
            </w:r>
            <w:r/>
          </w:p>
        </w:tc>
      </w:tr>
      <w:tr>
        <w:trPr/>
        <w:tc>
          <w:tcPr>
            <w:tcBorders>
              <w:top w:val="single" w:color="cccccc" w:sz="4" w:space="0"/>
              <w:left w:val="single" w:color="cccccc" w:sz="4" w:space="0"/>
              <w:bottom w:val="single" w:color="cccccc" w:sz="4" w:space="0"/>
              <w:right w:val="single" w:color="cccccc" w:sz="4" w:space="0"/>
            </w:tcBorders>
            <w:tcMar>
              <w:left w:w="120" w:type="dxa"/>
              <w:top w:w="80" w:type="dxa"/>
              <w:right w:w="120" w:type="dxa"/>
              <w:bottom w:w="80" w:type="dxa"/>
            </w:tcMar>
            <w:tcW w:w="3120" w:type="dxa"/>
            <w:textDirection w:val="lrTb"/>
            <w:noWrap w:val="false"/>
          </w:tcPr>
          <w:p>
            <w:pPr>
              <w:pBdr/>
              <w:spacing/>
              <w:ind/>
              <w:rPr/>
            </w:pPr>
            <w:r>
              <w:rPr>
                <w:b w:val="0"/>
                <w:bCs w:val="0"/>
              </w:rPr>
              <w:t xml:space="preserve">ESXi → Storage Adapters</w:t>
            </w:r>
            <w:r/>
          </w:p>
        </w:tc>
        <w:tc>
          <w:tcPr>
            <w:tcBorders>
              <w:top w:val="single" w:color="cccccc" w:sz="4" w:space="0"/>
              <w:left w:val="single" w:color="cccccc" w:sz="4" w:space="0"/>
              <w:bottom w:val="single" w:color="cccccc" w:sz="4" w:space="0"/>
              <w:right w:val="single" w:color="cccccc" w:sz="4" w:space="0"/>
            </w:tcBorders>
            <w:tcMar>
              <w:left w:w="120" w:type="dxa"/>
              <w:top w:w="80" w:type="dxa"/>
              <w:right w:w="120" w:type="dxa"/>
              <w:bottom w:w="80" w:type="dxa"/>
            </w:tcMar>
            <w:tcW w:w="6240" w:type="dxa"/>
            <w:textDirection w:val="lrTb"/>
            <w:noWrap w:val="false"/>
          </w:tcPr>
          <w:p>
            <w:pPr>
              <w:pBdr/>
              <w:spacing/>
              <w:ind/>
              <w:rPr/>
            </w:pPr>
            <w:r>
              <w:rPr>
                <w:b w:val="0"/>
                <w:bCs w:val="0"/>
              </w:rPr>
              <w:t xml:space="preserve">iSCSI Software Adapter is active</w:t>
            </w:r>
            <w:r/>
          </w:p>
        </w:tc>
      </w:tr>
      <w:tr>
        <w:trPr/>
        <w:tc>
          <w:tcPr>
            <w:tcBorders>
              <w:top w:val="single" w:color="cccccc" w:sz="4" w:space="0"/>
              <w:left w:val="single" w:color="cccccc" w:sz="4" w:space="0"/>
              <w:bottom w:val="single" w:color="cccccc" w:sz="4" w:space="0"/>
              <w:right w:val="single" w:color="cccccc" w:sz="4" w:space="0"/>
            </w:tcBorders>
            <w:tcMar>
              <w:left w:w="120" w:type="dxa"/>
              <w:top w:w="80" w:type="dxa"/>
              <w:right w:w="120" w:type="dxa"/>
              <w:bottom w:w="80" w:type="dxa"/>
            </w:tcMar>
            <w:tcW w:w="3120" w:type="dxa"/>
            <w:textDirection w:val="lrTb"/>
            <w:noWrap w:val="false"/>
          </w:tcPr>
          <w:p>
            <w:pPr>
              <w:pBdr/>
              <w:spacing/>
              <w:ind/>
              <w:rPr/>
            </w:pPr>
            <w:r>
              <w:rPr>
                <w:b w:val="0"/>
                <w:bCs w:val="0"/>
              </w:rPr>
              <w:t xml:space="preserve">ESXi → Storage Devices</w:t>
            </w:r>
            <w:r/>
          </w:p>
        </w:tc>
        <w:tc>
          <w:tcPr>
            <w:tcBorders>
              <w:top w:val="single" w:color="cccccc" w:sz="4" w:space="0"/>
              <w:left w:val="single" w:color="cccccc" w:sz="4" w:space="0"/>
              <w:bottom w:val="single" w:color="cccccc" w:sz="4" w:space="0"/>
              <w:right w:val="single" w:color="cccccc" w:sz="4" w:space="0"/>
            </w:tcBorders>
            <w:tcMar>
              <w:left w:w="120" w:type="dxa"/>
              <w:top w:w="80" w:type="dxa"/>
              <w:right w:w="120" w:type="dxa"/>
              <w:bottom w:w="80" w:type="dxa"/>
            </w:tcMar>
            <w:tcW w:w="6240" w:type="dxa"/>
            <w:textDirection w:val="lrTb"/>
            <w:noWrap w:val="false"/>
          </w:tcPr>
          <w:p>
            <w:pPr>
              <w:pBdr/>
              <w:spacing/>
              <w:ind/>
              <w:rPr/>
            </w:pPr>
            <w:r>
              <w:rPr>
                <w:b w:val="0"/>
                <w:bCs w:val="0"/>
              </w:rPr>
              <w:t xml:space="preserve">TrueNAS iSCSI Disk with 80 GiB visible</w:t>
            </w:r>
            <w:r/>
          </w:p>
        </w:tc>
      </w:tr>
      <w:tr>
        <w:trPr/>
        <w:tc>
          <w:tcPr>
            <w:tcBorders>
              <w:top w:val="single" w:color="cccccc" w:sz="4" w:space="0"/>
              <w:left w:val="single" w:color="cccccc" w:sz="4" w:space="0"/>
              <w:bottom w:val="single" w:color="cccccc" w:sz="4" w:space="0"/>
              <w:right w:val="single" w:color="cccccc" w:sz="4" w:space="0"/>
            </w:tcBorders>
            <w:tcMar>
              <w:left w:w="120" w:type="dxa"/>
              <w:top w:w="80" w:type="dxa"/>
              <w:right w:w="120" w:type="dxa"/>
              <w:bottom w:w="80" w:type="dxa"/>
            </w:tcMar>
            <w:tcW w:w="3120" w:type="dxa"/>
            <w:textDirection w:val="lrTb"/>
            <w:noWrap w:val="false"/>
          </w:tcPr>
          <w:p>
            <w:pPr>
              <w:pBdr/>
              <w:spacing/>
              <w:ind/>
              <w:rPr/>
            </w:pPr>
            <w:r>
              <w:rPr>
                <w:b w:val="0"/>
                <w:bCs w:val="0"/>
              </w:rPr>
              <w:t xml:space="preserve">ESXi → Datastores</w:t>
            </w:r>
            <w:r/>
          </w:p>
        </w:tc>
        <w:tc>
          <w:tcPr>
            <w:tcBorders>
              <w:top w:val="single" w:color="cccccc" w:sz="4" w:space="0"/>
              <w:left w:val="single" w:color="cccccc" w:sz="4" w:space="0"/>
              <w:bottom w:val="single" w:color="cccccc" w:sz="4" w:space="0"/>
              <w:right w:val="single" w:color="cccccc" w:sz="4" w:space="0"/>
            </w:tcBorders>
            <w:tcMar>
              <w:left w:w="120" w:type="dxa"/>
              <w:top w:w="80" w:type="dxa"/>
              <w:right w:w="120" w:type="dxa"/>
              <w:bottom w:w="80" w:type="dxa"/>
            </w:tcMar>
            <w:tcW w:w="6240" w:type="dxa"/>
            <w:textDirection w:val="lrTb"/>
            <w:noWrap w:val="false"/>
          </w:tcPr>
          <w:p>
            <w:pPr>
              <w:pBdr/>
              <w:spacing/>
              <w:ind/>
              <w:rPr/>
            </w:pPr>
            <w:r>
              <w:rPr>
                <w:b w:val="0"/>
                <w:bCs w:val="0"/>
              </w:rPr>
              <w:t xml:space="preserve">iSCSI-Datastore-01 visible with correct capacity</w:t>
            </w:r>
            <w:r/>
          </w:p>
        </w:tc>
      </w:tr>
      <w:tr>
        <w:trPr/>
        <w:tc>
          <w:tcPr>
            <w:tcBorders>
              <w:top w:val="single" w:color="cccccc" w:sz="4" w:space="0"/>
              <w:left w:val="single" w:color="cccccc" w:sz="4" w:space="0"/>
              <w:bottom w:val="single" w:color="cccccc" w:sz="4" w:space="0"/>
              <w:right w:val="single" w:color="cccccc" w:sz="4" w:space="0"/>
            </w:tcBorders>
            <w:tcMar>
              <w:left w:w="120" w:type="dxa"/>
              <w:top w:w="80" w:type="dxa"/>
              <w:right w:w="120" w:type="dxa"/>
              <w:bottom w:w="80" w:type="dxa"/>
            </w:tcMar>
            <w:tcW w:w="3120" w:type="dxa"/>
            <w:textDirection w:val="lrTb"/>
            <w:noWrap w:val="false"/>
          </w:tcPr>
          <w:p>
            <w:pPr>
              <w:pBdr/>
              <w:spacing/>
              <w:ind/>
              <w:rPr/>
            </w:pPr>
            <w:r>
              <w:rPr>
                <w:b w:val="0"/>
                <w:bCs w:val="0"/>
              </w:rPr>
              <w:t xml:space="preserve">VM Migration</w:t>
            </w:r>
            <w:r/>
          </w:p>
        </w:tc>
        <w:tc>
          <w:tcPr>
            <w:tcBorders>
              <w:top w:val="single" w:color="cccccc" w:sz="4" w:space="0"/>
              <w:left w:val="single" w:color="cccccc" w:sz="4" w:space="0"/>
              <w:bottom w:val="single" w:color="cccccc" w:sz="4" w:space="0"/>
              <w:right w:val="single" w:color="cccccc" w:sz="4" w:space="0"/>
            </w:tcBorders>
            <w:tcMar>
              <w:left w:w="120" w:type="dxa"/>
              <w:top w:w="80" w:type="dxa"/>
              <w:right w:w="120" w:type="dxa"/>
              <w:bottom w:w="80" w:type="dxa"/>
            </w:tcMar>
            <w:tcW w:w="6240" w:type="dxa"/>
            <w:textDirection w:val="lrTb"/>
            <w:noWrap w:val="false"/>
          </w:tcPr>
          <w:p>
            <w:pPr>
              <w:pBdr/>
              <w:spacing/>
              <w:ind/>
              <w:rPr/>
            </w:pPr>
            <w:r>
              <w:rPr>
                <w:b w:val="0"/>
                <w:bCs w:val="0"/>
              </w:rPr>
              <w:t xml:space="preserve">VM files reside on the new datastore</w:t>
            </w:r>
            <w:r/>
          </w:p>
        </w:tc>
      </w:tr>
    </w:tbl>
    <w:p>
      <w:pPr>
        <w:pStyle w:val="829"/>
        <w:pBdr/>
        <w:spacing/>
        <w:ind/>
        <w:rPr/>
      </w:pPr>
      <w:r>
        <w:t xml:space="preserve">Notes on a Shared Lab NAS</w:t>
      </w:r>
      <w:r/>
    </w:p>
    <w:p>
      <w:pPr>
        <w:pBdr/>
        <w:spacing w:after="120"/>
        <w:ind/>
        <w:rPr/>
      </w:pPr>
      <w:r>
        <w:t xml:space="preserve">In this lab the CLOIF2 TrueNAS is shared between multiple student groups. To avoid dis</w:t>
      </w:r>
      <w:r>
        <w:t xml:space="preserve">rupting other users, every modification (resize, extent creation, target configuration) was coordinated with the administrator. Dedicated zvols with user-specific naming would be preferred in a production scenario to prevent accidental impact across teams.</w:t>
      </w:r>
      <w:r/>
    </w:p>
    <w:p>
      <w:pPr>
        <w:pBdr/>
        <w:spacing/>
        <w:ind/>
        <w:rPr/>
      </w:pPr>
      <w:r/>
      <w:r/>
    </w:p>
    <w:p>
      <w:pPr>
        <w:pStyle w:val="828"/>
        <w:pBdr/>
        <w:spacing/>
        <w:ind/>
        <w:rPr/>
      </w:pPr>
      <w:r>
        <w:t xml:space="preserve">2.20  VM Storage Migration (vSphere)</w:t>
      </w:r>
      <w:r/>
    </w:p>
    <w:p>
      <w:pPr>
        <w:pBdr/>
        <w:spacing w:after="120"/>
        <w:ind/>
        <w:rPr/>
      </w:pPr>
      <w:r>
        <w:t xml:space="preserve">With shared storage in place, migrating a VM's files from one datastore to another is a straightforward operation. The VM can remain powered on during the migration.</w:t>
      </w:r>
      <w:r/>
    </w:p>
    <w:p>
      <w:pPr>
        <w:pStyle w:val="819"/>
        <w:numPr>
          <w:ilvl w:val="0"/>
          <w:numId w:val="65"/>
        </w:numPr>
        <w:pBdr/>
        <w:spacing/>
        <w:ind/>
        <w:rPr/>
      </w:pPr>
      <w:r>
        <w:t xml:space="preserve">Right-click the VM → Migrate.</w:t>
      </w:r>
      <w:r/>
    </w:p>
    <w:p>
      <w:pPr>
        <w:pStyle w:val="819"/>
        <w:numPr>
          <w:ilvl w:val="0"/>
          <w:numId w:val="65"/>
        </w:numPr>
        <w:pBdr/>
        <w:spacing/>
        <w:ind/>
        <w:rPr/>
      </w:pPr>
      <w:r>
        <w:t xml:space="preserve">Choose "Change storage only" as the migration type.</w:t>
      </w:r>
      <w:r/>
    </w:p>
    <w:p>
      <w:pPr>
        <w:pStyle w:val="819"/>
        <w:numPr>
          <w:ilvl w:val="0"/>
          <w:numId w:val="65"/>
        </w:numPr>
        <w:pBdr/>
        <w:spacing/>
        <w:ind/>
        <w:rPr/>
      </w:pPr>
      <w:r>
        <w:t xml:space="preserve">Select the target datastore and proceed through the wizard.</w:t>
      </w:r>
      <w:r/>
    </w:p>
    <w:p>
      <w:pPr>
        <w:pStyle w:val="819"/>
        <w:numPr>
          <w:ilvl w:val="0"/>
          <w:numId w:val="65"/>
        </w:numPr>
        <w:pBdr/>
        <w:spacing/>
        <w:ind/>
        <w:rPr/>
      </w:pPr>
      <w:r>
        <w:t xml:space="preserve">Click Finish.</w:t>
      </w:r>
      <w:r/>
    </w:p>
    <w:p>
      <w:pPr>
        <w:pBdr/>
        <w:spacing w:after="120"/>
        <w:ind/>
        <w:rPr/>
      </w:pPr>
      <w:r>
        <w:t xml:space="preserve">The transfer runs in the background. For a thin-provisioned VM the operation typically takes only a few minutes for small disks.</w:t>
      </w:r>
      <w:r/>
    </w:p>
    <w:p>
      <w:pPr>
        <w:pBdr/>
        <w:spacing/>
        <w:ind/>
        <w:rPr/>
      </w:pPr>
      <w:r/>
      <w:r/>
    </w:p>
    <w:p>
      <w:pPr>
        <w:pStyle w:val="828"/>
        <w:pBdr/>
        <w:spacing/>
        <w:ind/>
        <w:rPr/>
      </w:pPr>
      <w:r>
        <w:t xml:space="preserve">2.21  VM Migration Between Hypervisors (vMotion)</w:t>
      </w:r>
      <w:r/>
    </w:p>
    <w:p>
      <w:pPr>
        <w:pBdr/>
        <w:spacing w:after="120"/>
        <w:ind/>
        <w:rPr/>
      </w:pPr>
      <w:r>
        <w:t xml:space="preserve">Live migration of a powered-on VM between two ESXi hosts requires both hosts to share the underlying storage and to be managed by the same vCenter.</w:t>
      </w:r>
      <w:r/>
    </w:p>
    <w:p>
      <w:pPr>
        <w:pStyle w:val="829"/>
        <w:pBdr/>
        <w:spacing/>
        <w:ind/>
        <w:rPr/>
      </w:pPr>
      <w:r>
        <w:t xml:space="preserve">Adding a Second Hypervisor</w:t>
      </w:r>
      <w:r/>
    </w:p>
    <w:p>
      <w:pPr>
        <w:pStyle w:val="819"/>
        <w:numPr>
          <w:ilvl w:val="0"/>
          <w:numId w:val="66"/>
        </w:numPr>
        <w:pBdr/>
        <w:spacing/>
        <w:ind/>
        <w:rPr/>
      </w:pPr>
      <w:r>
        <w:t xml:space="preserve">Right-click the Datacenter → Add Host.</w:t>
      </w:r>
      <w:r/>
    </w:p>
    <w:p>
      <w:pPr>
        <w:pStyle w:val="819"/>
        <w:numPr>
          <w:ilvl w:val="0"/>
          <w:numId w:val="66"/>
        </w:numPr>
        <w:pBdr/>
        <w:spacing/>
        <w:ind/>
        <w:rPr/>
      </w:pPr>
      <w:r>
        <w:t xml:space="preserve">Step through the wizard:</w:t>
      </w:r>
      <w:r/>
    </w:p>
    <w:p>
      <w:pPr>
        <w:pStyle w:val="819"/>
        <w:numPr>
          <w:ilvl w:val="0"/>
          <w:numId w:val="2"/>
        </w:numPr>
        <w:pBdr/>
        <w:spacing/>
        <w:ind/>
        <w:rPr/>
      </w:pPr>
      <w:r>
        <w:rPr>
          <w:b/>
          <w:bCs/>
        </w:rPr>
        <w:t xml:space="preserve">Name and location: </w:t>
      </w:r>
      <w:r>
        <w:t xml:space="preserve">IP or FQDN of the second ESXi host → Next.</w:t>
      </w:r>
      <w:r/>
    </w:p>
    <w:p>
      <w:pPr>
        <w:pStyle w:val="819"/>
        <w:numPr>
          <w:ilvl w:val="0"/>
          <w:numId w:val="2"/>
        </w:numPr>
        <w:pBdr/>
        <w:spacing/>
        <w:ind/>
        <w:rPr/>
      </w:pPr>
      <w:r>
        <w:rPr>
          <w:b/>
          <w:bCs/>
        </w:rPr>
        <w:t xml:space="preserve">Connection settings: </w:t>
      </w:r>
      <w:r>
        <w:t xml:space="preserve">user </w:t>
      </w:r>
      <w:r>
        <w:rPr>
          <w:rFonts w:ascii="Consolas" w:hAnsi="Consolas" w:eastAsia="Consolas" w:cs="Consolas"/>
          <w:sz w:val="22"/>
          <w:szCs w:val="22"/>
        </w:rPr>
        <w:t xml:space="preserve">root</w:t>
      </w:r>
      <w:r>
        <w:t xml:space="preserve"> and the host password → Next.</w:t>
      </w:r>
      <w:r/>
    </w:p>
    <w:p>
      <w:pPr>
        <w:pStyle w:val="819"/>
        <w:numPr>
          <w:ilvl w:val="0"/>
          <w:numId w:val="2"/>
        </w:numPr>
        <w:pBdr/>
        <w:spacing/>
        <w:ind/>
        <w:rPr/>
      </w:pPr>
      <w:r>
        <w:rPr>
          <w:b/>
          <w:bCs/>
        </w:rPr>
        <w:t xml:space="preserve">Security Alert: </w:t>
      </w:r>
      <w:r>
        <w:t xml:space="preserve">Accept the certificate → Yes.</w:t>
      </w:r>
      <w:r/>
    </w:p>
    <w:p>
      <w:pPr>
        <w:pStyle w:val="819"/>
        <w:numPr>
          <w:ilvl w:val="0"/>
          <w:numId w:val="2"/>
        </w:numPr>
        <w:pBdr/>
        <w:spacing/>
        <w:ind/>
        <w:rPr/>
      </w:pPr>
      <w:r>
        <w:rPr>
          <w:b/>
          <w:bCs/>
        </w:rPr>
        <w:t xml:space="preserve">Host summary: </w:t>
      </w:r>
      <w:r>
        <w:t xml:space="preserve">Verify and click Next.</w:t>
      </w:r>
      <w:r/>
    </w:p>
    <w:p>
      <w:pPr>
        <w:pStyle w:val="819"/>
        <w:numPr>
          <w:ilvl w:val="0"/>
          <w:numId w:val="2"/>
        </w:numPr>
        <w:pBdr/>
        <w:spacing/>
        <w:ind/>
        <w:rPr/>
      </w:pPr>
      <w:r>
        <w:rPr>
          <w:b/>
          <w:bCs/>
        </w:rPr>
        <w:t xml:space="preserve">Assign license: </w:t>
      </w:r>
      <w:r>
        <w:t xml:space="preserve">Evaluation → Next.</w:t>
      </w:r>
      <w:r/>
    </w:p>
    <w:p>
      <w:pPr>
        <w:pStyle w:val="819"/>
        <w:numPr>
          <w:ilvl w:val="0"/>
          <w:numId w:val="2"/>
        </w:numPr>
        <w:pBdr/>
        <w:spacing/>
        <w:ind/>
        <w:rPr/>
      </w:pPr>
      <w:r>
        <w:rPr>
          <w:b/>
          <w:bCs/>
        </w:rPr>
        <w:t xml:space="preserve">Lockdown mode: </w:t>
      </w:r>
      <w:r>
        <w:t xml:space="preserve">Disabled → Next.</w:t>
      </w:r>
      <w:r/>
    </w:p>
    <w:p>
      <w:pPr>
        <w:pStyle w:val="819"/>
        <w:numPr>
          <w:ilvl w:val="0"/>
          <w:numId w:val="2"/>
        </w:numPr>
        <w:pBdr/>
        <w:spacing/>
        <w:ind/>
        <w:rPr/>
      </w:pPr>
      <w:r>
        <w:rPr>
          <w:b/>
          <w:bCs/>
        </w:rPr>
        <w:t xml:space="preserve">VM location: </w:t>
      </w:r>
      <w:r>
        <w:t xml:space="preserve">Datacenter → Next.</w:t>
      </w:r>
      <w:r/>
    </w:p>
    <w:p>
      <w:pPr>
        <w:pStyle w:val="819"/>
        <w:numPr>
          <w:ilvl w:val="0"/>
          <w:numId w:val="2"/>
        </w:numPr>
        <w:pBdr/>
        <w:spacing/>
        <w:ind/>
        <w:rPr/>
      </w:pPr>
      <w:r>
        <w:rPr>
          <w:b/>
          <w:bCs/>
        </w:rPr>
        <w:t xml:space="preserve">Ready to complete: </w:t>
      </w:r>
      <w:r>
        <w:t xml:space="preserve">Finish.</w:t>
      </w:r>
      <w:r/>
    </w:p>
    <w:p>
      <w:pPr>
        <w:pStyle w:val="829"/>
        <w:pBdr/>
        <w:spacing/>
        <w:ind/>
        <w:rPr/>
      </w:pPr>
      <w:r>
        <w:t xml:space="preserve">Shared Storage on the Second Host</w:t>
      </w:r>
      <w:r/>
    </w:p>
    <w:p>
      <w:pPr>
        <w:pBdr/>
        <w:spacing w:after="120"/>
        <w:ind/>
        <w:rPr/>
      </w:pPr>
      <w:r>
        <w:t xml:space="preserve">The second host must access the same shared iSCSI storage as the first. The procedure repeats the iSCSI adapter configuration described in section 2.19.</w:t>
      </w:r>
      <w:r/>
    </w:p>
    <w:p>
      <w:pPr>
        <w:pStyle w:val="830"/>
        <w:pBdr/>
        <w:spacing/>
        <w:ind/>
        <w:rPr/>
      </w:pPr>
      <w:r>
        <w:t xml:space="preserve">Step 1 — Select the Second Host</w:t>
      </w:r>
      <w:r/>
    </w:p>
    <w:p>
      <w:pPr>
        <w:pBdr/>
        <w:spacing w:after="120"/>
        <w:ind/>
        <w:rPr/>
      </w:pPr>
      <w:r>
        <w:t xml:space="preserve">In the vSphere Client inventory pane, click on the second ESXi host. Make sure not to select the first host, as configuration changes would otherwise be applied to the wrong target.</w:t>
      </w:r>
      <w:r/>
    </w:p>
    <w:p>
      <w:pPr>
        <w:pStyle w:val="830"/>
        <w:pBdr/>
        <w:spacing/>
        <w:ind/>
        <w:rPr/>
      </w:pPr>
      <w:r>
        <w:t xml:space="preserve">Step 2 — Enable the Software iSCSI Adapter</w:t>
      </w:r>
      <w:r/>
    </w:p>
    <w:p>
      <w:pPr>
        <w:pStyle w:val="819"/>
        <w:numPr>
          <w:ilvl w:val="0"/>
          <w:numId w:val="67"/>
        </w:numPr>
        <w:pBdr/>
        <w:spacing/>
        <w:ind/>
        <w:rPr/>
      </w:pPr>
      <w:r>
        <w:t xml:space="preserve">Open the </w:t>
      </w:r>
      <w:r>
        <w:rPr>
          <w:b/>
          <w:bCs/>
        </w:rPr>
        <w:t xml:space="preserve">Configure</w:t>
      </w:r>
      <w:r>
        <w:t xml:space="preserve"> tab.</w:t>
      </w:r>
      <w:r/>
    </w:p>
    <w:p>
      <w:pPr>
        <w:pStyle w:val="819"/>
        <w:numPr>
          <w:ilvl w:val="0"/>
          <w:numId w:val="67"/>
        </w:numPr>
        <w:pBdr/>
        <w:spacing/>
        <w:ind/>
        <w:rPr/>
      </w:pPr>
      <w:r>
        <w:t xml:space="preserve">In the left menu, navigate to </w:t>
      </w:r>
      <w:r>
        <w:rPr>
          <w:b/>
          <w:bCs/>
        </w:rPr>
        <w:t xml:space="preserve">Storage → Storage Adapters</w:t>
      </w:r>
      <w:r>
        <w:t xml:space="preserve">.</w:t>
      </w:r>
      <w:r/>
    </w:p>
    <w:p>
      <w:pPr>
        <w:pStyle w:val="819"/>
        <w:numPr>
          <w:ilvl w:val="0"/>
          <w:numId w:val="67"/>
        </w:numPr>
        <w:pBdr/>
        <w:spacing/>
        <w:ind/>
        <w:rPr/>
      </w:pPr>
      <w:r>
        <w:t xml:space="preserve">Click </w:t>
      </w:r>
      <w:r>
        <w:rPr>
          <w:b/>
          <w:bCs/>
        </w:rPr>
        <w:t xml:space="preserve">ADD SOFTWARE ADAPTER → Add iSCSI adapter</w:t>
      </w:r>
      <w:r>
        <w:t xml:space="preserve">, then confirm with OK.</w:t>
      </w:r>
      <w:r/>
    </w:p>
    <w:p>
      <w:pPr>
        <w:pBdr/>
        <w:spacing w:after="120"/>
        <w:ind/>
        <w:rPr/>
      </w:pPr>
      <w:r>
        <w:t xml:space="preserve">A new adapter (typically vmhbaXX of type "iSCSI Software Adapter") appears in the list.</w:t>
      </w:r>
      <w:r/>
    </w:p>
    <w:p>
      <w:pPr>
        <w:pStyle w:val="830"/>
        <w:pBdr/>
        <w:spacing/>
        <w:ind/>
        <w:rPr/>
      </w:pPr>
      <w:r>
        <w:t xml:space="preserve">Step 3 — Configure Dynamic Discovery</w:t>
      </w:r>
      <w:r/>
    </w:p>
    <w:p>
      <w:pPr>
        <w:pStyle w:val="819"/>
        <w:numPr>
          <w:ilvl w:val="0"/>
          <w:numId w:val="68"/>
        </w:numPr>
        <w:pBdr/>
        <w:spacing/>
        <w:ind/>
        <w:rPr/>
      </w:pPr>
      <w:r>
        <w:t xml:space="preserve">Select the newly created iSCSI adapter.</w:t>
      </w:r>
      <w:r/>
    </w:p>
    <w:p>
      <w:pPr>
        <w:pStyle w:val="819"/>
        <w:numPr>
          <w:ilvl w:val="0"/>
          <w:numId w:val="68"/>
        </w:numPr>
        <w:pBdr/>
        <w:spacing/>
        <w:ind/>
        <w:rPr/>
      </w:pPr>
      <w:r>
        <w:t xml:space="preserve">In the details pane, open the </w:t>
      </w:r>
      <w:r>
        <w:rPr>
          <w:b/>
          <w:bCs/>
        </w:rPr>
        <w:t xml:space="preserve">Dynamic Discovery</w:t>
      </w:r>
      <w:r>
        <w:t xml:space="preserve"> tab and click ADD.</w:t>
      </w:r>
      <w:r/>
    </w:p>
    <w:p>
      <w:pPr>
        <w:pStyle w:val="819"/>
        <w:numPr>
          <w:ilvl w:val="0"/>
          <w:numId w:val="68"/>
        </w:numPr>
        <w:pBdr/>
        <w:spacing/>
        <w:ind/>
        <w:rPr/>
      </w:pPr>
      <w:r>
        <w:t xml:space="preserve">Enter the following values:</w:t>
      </w:r>
      <w:r/>
    </w:p>
    <w:p>
      <w:pPr>
        <w:pStyle w:val="819"/>
        <w:numPr>
          <w:ilvl w:val="0"/>
          <w:numId w:val="2"/>
        </w:numPr>
        <w:pBdr/>
        <w:spacing/>
        <w:ind/>
        <w:rPr/>
      </w:pPr>
      <w:r>
        <w:rPr>
          <w:b/>
          <w:bCs/>
        </w:rPr>
        <w:t xml:space="preserve">iSCSI Server: </w:t>
      </w:r>
      <w:r>
        <w:rPr>
          <w:rFonts w:ascii="Consolas" w:hAnsi="Consolas" w:eastAsia="Consolas" w:cs="Consolas"/>
          <w:sz w:val="22"/>
          <w:szCs w:val="22"/>
        </w:rPr>
        <w:t xml:space="preserve">10.0.13.3</w:t>
      </w:r>
      <w:r/>
    </w:p>
    <w:p>
      <w:pPr>
        <w:pStyle w:val="819"/>
        <w:numPr>
          <w:ilvl w:val="0"/>
          <w:numId w:val="2"/>
        </w:numPr>
        <w:pBdr/>
        <w:spacing/>
        <w:ind/>
        <w:rPr/>
      </w:pPr>
      <w:r>
        <w:rPr>
          <w:b/>
          <w:bCs/>
        </w:rPr>
        <w:t xml:space="preserve">Port: </w:t>
      </w:r>
      <w:r>
        <w:rPr>
          <w:rFonts w:ascii="Consolas" w:hAnsi="Consolas" w:eastAsia="Consolas" w:cs="Consolas"/>
          <w:sz w:val="22"/>
          <w:szCs w:val="22"/>
        </w:rPr>
        <w:t xml:space="preserve">3260</w:t>
      </w:r>
      <w:r/>
    </w:p>
    <w:p>
      <w:pPr>
        <w:pStyle w:val="819"/>
        <w:numPr>
          <w:ilvl w:val="0"/>
          <w:numId w:val="68"/>
        </w:numPr>
        <w:pBdr/>
        <w:spacing/>
        <w:ind/>
        <w:rPr/>
      </w:pPr>
      <w:r>
        <w:t xml:space="preserve">Confirm with OK.</w:t>
      </w:r>
      <w:r/>
    </w:p>
    <w:p>
      <w:pPr>
        <w:pStyle w:val="830"/>
        <w:pBdr/>
        <w:spacing/>
        <w:ind/>
        <w:rPr/>
      </w:pPr>
      <w:r>
        <w:t xml:space="preserve">Step 4 — Trigger a Storage Rescan</w:t>
      </w:r>
      <w:r/>
    </w:p>
    <w:p>
      <w:pPr>
        <w:pStyle w:val="819"/>
        <w:numPr>
          <w:ilvl w:val="0"/>
          <w:numId w:val="69"/>
        </w:numPr>
        <w:pBdr/>
        <w:spacing/>
        <w:ind/>
        <w:rPr/>
      </w:pPr>
      <w:r>
        <w:t xml:space="preserve">In the Storage Adapters view, click RESCAN STORAGE… and leave both checkboxes enabled.</w:t>
      </w:r>
      <w:r/>
    </w:p>
    <w:p>
      <w:pPr>
        <w:pStyle w:val="830"/>
        <w:pBdr/>
        <w:spacing/>
        <w:ind/>
        <w:rPr/>
      </w:pPr>
      <w:r>
        <w:t xml:space="preserve">Step 5 — Verify Storage Devices</w:t>
      </w:r>
      <w:r/>
    </w:p>
    <w:p>
      <w:pPr>
        <w:pStyle w:val="819"/>
        <w:numPr>
          <w:ilvl w:val="0"/>
          <w:numId w:val="70"/>
        </w:numPr>
        <w:pBdr/>
        <w:spacing/>
        <w:ind/>
        <w:rPr/>
      </w:pPr>
      <w:r>
        <w:t xml:space="preserve">In the left menu, navigate to </w:t>
      </w:r>
      <w:r>
        <w:rPr>
          <w:b/>
          <w:bCs/>
        </w:rPr>
        <w:t xml:space="preserve">Storage Devices</w:t>
      </w:r>
      <w:r>
        <w:t xml:space="preserve">.</w:t>
      </w:r>
      <w:r/>
    </w:p>
    <w:p>
      <w:pPr>
        <w:pBdr/>
        <w:spacing w:after="120"/>
        <w:ind/>
        <w:rPr/>
      </w:pPr>
      <w:r>
        <w:t xml:space="preserve">The TrueNAS iSCSI disks that were visible on the first host now appear here as well (e.g. an 80 GiB device).</w:t>
      </w:r>
      <w:r/>
    </w:p>
    <w:p>
      <w:pPr>
        <w:pStyle w:val="829"/>
        <w:pBdr/>
        <w:spacing/>
        <w:ind/>
        <w:rPr/>
      </w:pPr>
      <w:r>
        <w:t xml:space="preserve">vMotion Network Configuration</w:t>
      </w:r>
      <w:r/>
    </w:p>
    <w:p>
      <w:pPr>
        <w:pBdr/>
        <w:spacing w:after="120"/>
        <w:ind/>
        <w:rPr/>
      </w:pPr>
      <w:r>
        <w:t xml:space="preserve">vMotion traffic requires that the vMotion service is enabled on a VMkernel adapter. This must be done on every host that participates in vMotion.</w:t>
      </w:r>
      <w:r/>
    </w:p>
    <w:p>
      <w:pPr>
        <w:pStyle w:val="819"/>
        <w:numPr>
          <w:ilvl w:val="0"/>
          <w:numId w:val="71"/>
        </w:numPr>
        <w:pBdr/>
        <w:spacing/>
        <w:ind/>
        <w:rPr/>
      </w:pPr>
      <w:r>
        <w:t xml:space="preserve">On each host: </w:t>
      </w:r>
      <w:r>
        <w:rPr>
          <w:b/>
          <w:bCs/>
        </w:rPr>
        <w:t xml:space="preserve">Configure → VMkernel adapters</w:t>
      </w:r>
      <w:r>
        <w:t xml:space="preserve">.</w:t>
      </w:r>
      <w:r/>
    </w:p>
    <w:p>
      <w:pPr>
        <w:pStyle w:val="819"/>
        <w:numPr>
          <w:ilvl w:val="0"/>
          <w:numId w:val="71"/>
        </w:numPr>
        <w:pBdr/>
        <w:spacing/>
        <w:ind/>
        <w:rPr/>
      </w:pPr>
      <w:r>
        <w:t xml:space="preserve">Click the three dots next to the management VMkernel (vmk0) and choose Edit.</w:t>
      </w:r>
      <w:r/>
    </w:p>
    <w:p>
      <w:pPr>
        <w:pStyle w:val="819"/>
        <w:numPr>
          <w:ilvl w:val="0"/>
          <w:numId w:val="71"/>
        </w:numPr>
        <w:pBdr/>
        <w:spacing/>
        <w:ind/>
        <w:rPr/>
      </w:pPr>
      <w:r>
        <w:t xml:space="preserve">Enable the vMotion service in the Services section.</w:t>
      </w:r>
      <w:r/>
    </w:p>
    <w:p>
      <w:pPr>
        <w:pBdr>
          <w:top w:val="single" w:color="2e74b5" w:sz="6" w:space="0"/>
          <w:left w:val="single" w:color="2e74b5" w:sz="18" w:space="0"/>
          <w:bottom w:val="single" w:color="2e74b5" w:sz="6" w:space="0"/>
          <w:right w:val="single" w:color="2e74b5" w:sz="6" w:space="0"/>
        </w:pBdr>
        <w:shd w:val="clear" w:color="auto" w:fill="eaf1fb"/>
        <w:spacing w:after="150" w:before="150"/>
        <w:ind/>
        <w:rPr/>
      </w:pPr>
      <w:r>
        <w:rPr>
          <w:b/>
          <w:bCs/>
          <w:color w:val="1f3864"/>
        </w:rPr>
        <w:t xml:space="preserve">Best practice: </w:t>
      </w:r>
      <w:r>
        <w:t xml:space="preserve">In production environments, vMotion should run on a dedicated VMkernel adapter on its own physical NIC and VLAN (ideally with jumbo frames enabled, MTU 9000). In this lab, sharing the vmk0 management interface was acceptable for simplicity.</w:t>
      </w:r>
      <w:r/>
    </w:p>
    <w:p>
      <w:pPr>
        <w:pStyle w:val="829"/>
        <w:pBdr/>
        <w:spacing/>
        <w:ind/>
        <w:rPr/>
      </w:pPr>
      <w:r>
        <w:t xml:space="preserve">Migrating the VM</w:t>
      </w:r>
      <w:r/>
    </w:p>
    <w:p>
      <w:pPr>
        <w:pBdr/>
        <w:spacing w:after="120"/>
        <w:ind/>
        <w:rPr/>
      </w:pPr>
      <w:r>
        <w:t xml:space="preserve">Requirements for live migration:</w:t>
      </w:r>
      <w:r/>
    </w:p>
    <w:p>
      <w:pPr>
        <w:pStyle w:val="819"/>
        <w:numPr>
          <w:ilvl w:val="0"/>
          <w:numId w:val="2"/>
        </w:numPr>
        <w:pBdr/>
        <w:spacing/>
        <w:ind/>
        <w:rPr/>
      </w:pPr>
      <w:r>
        <w:t xml:space="preserve">The VM must reside on shared storage that both source and destination hosts can access.</w:t>
      </w:r>
      <w:r/>
    </w:p>
    <w:p>
      <w:pPr>
        <w:pStyle w:val="819"/>
        <w:numPr>
          <w:ilvl w:val="0"/>
          <w:numId w:val="2"/>
        </w:numPr>
        <w:pBdr/>
        <w:spacing/>
        <w:ind/>
        <w:rPr/>
      </w:pPr>
      <w:r>
        <w:t xml:space="preserve">Any locally attached CD/DVD ISO must be disconnected (an ISO referencing a local datastore cannot be reached by the destination host).</w:t>
      </w:r>
      <w:r/>
    </w:p>
    <w:p>
      <w:pPr>
        <w:pStyle w:val="819"/>
        <w:numPr>
          <w:ilvl w:val="0"/>
          <w:numId w:val="72"/>
        </w:numPr>
        <w:pBdr/>
        <w:spacing/>
        <w:ind/>
        <w:rPr/>
      </w:pPr>
      <w:r>
        <w:t xml:space="preserve">Right-click the VM → Migrate.</w:t>
      </w:r>
      <w:r/>
    </w:p>
    <w:p>
      <w:pPr>
        <w:pStyle w:val="819"/>
        <w:numPr>
          <w:ilvl w:val="0"/>
          <w:numId w:val="72"/>
        </w:numPr>
        <w:pBdr/>
        <w:spacing/>
        <w:ind/>
        <w:rPr/>
      </w:pPr>
      <w:r>
        <w:t xml:space="preserve">Step through the wizard:</w:t>
      </w:r>
      <w:r/>
    </w:p>
    <w:p>
      <w:pPr>
        <w:pStyle w:val="819"/>
        <w:numPr>
          <w:ilvl w:val="0"/>
          <w:numId w:val="2"/>
        </w:numPr>
        <w:pBdr/>
        <w:spacing/>
        <w:ind/>
        <w:rPr/>
      </w:pPr>
      <w:r>
        <w:rPr>
          <w:b/>
          <w:bCs/>
        </w:rPr>
        <w:t xml:space="preserve">Select a migration type: </w:t>
      </w:r>
      <w:r>
        <w:t xml:space="preserve">Change compute resource only.</w:t>
      </w:r>
      <w:r/>
    </w:p>
    <w:p>
      <w:pPr>
        <w:pStyle w:val="819"/>
        <w:numPr>
          <w:ilvl w:val="0"/>
          <w:numId w:val="2"/>
        </w:numPr>
        <w:pBdr/>
        <w:spacing/>
        <w:ind/>
        <w:rPr/>
      </w:pPr>
      <w:r>
        <w:rPr>
          <w:b/>
          <w:bCs/>
        </w:rPr>
        <w:t xml:space="preserve">Select a compute resource: </w:t>
      </w:r>
      <w:r>
        <w:t xml:space="preserve">Choose the new host.</w:t>
      </w:r>
      <w:r/>
    </w:p>
    <w:p>
      <w:pPr>
        <w:pStyle w:val="819"/>
        <w:numPr>
          <w:ilvl w:val="0"/>
          <w:numId w:val="2"/>
        </w:numPr>
        <w:pBdr/>
        <w:spacing/>
        <w:ind/>
        <w:rPr/>
      </w:pPr>
      <w:r>
        <w:rPr>
          <w:b/>
          <w:bCs/>
        </w:rPr>
        <w:t xml:space="preserve">Select networks: </w:t>
      </w:r>
      <w:r>
        <w:t xml:space="preserve">Map the source network to a matching network on the destination → Next.</w:t>
      </w:r>
      <w:r/>
    </w:p>
    <w:p>
      <w:pPr>
        <w:pStyle w:val="819"/>
        <w:numPr>
          <w:ilvl w:val="0"/>
          <w:numId w:val="2"/>
        </w:numPr>
        <w:pBdr/>
        <w:spacing/>
        <w:ind/>
        <w:rPr/>
      </w:pPr>
      <w:r>
        <w:rPr>
          <w:b/>
          <w:bCs/>
        </w:rPr>
        <w:t xml:space="preserve">Select vMotion priority: </w:t>
      </w:r>
      <w:r>
        <w:t xml:space="preserve">"Schedule vMotion with high priority" → Next.</w:t>
      </w:r>
      <w:r/>
    </w:p>
    <w:p>
      <w:pPr>
        <w:pStyle w:val="819"/>
        <w:numPr>
          <w:ilvl w:val="0"/>
          <w:numId w:val="2"/>
        </w:numPr>
        <w:pBdr/>
        <w:spacing/>
        <w:ind/>
        <w:rPr/>
      </w:pPr>
      <w:r>
        <w:rPr>
          <w:b/>
          <w:bCs/>
        </w:rPr>
        <w:t xml:space="preserve">Ready to complete: </w:t>
      </w:r>
      <w:r>
        <w:t xml:space="preserve">Finish.</w:t>
      </w:r>
      <w:r/>
    </w:p>
    <w:p>
      <w:pPr>
        <w:pBdr/>
        <w:spacing w:after="120" w:before="120"/>
        <w:ind/>
        <w:jc w:val="center"/>
        <w:rPr/>
      </w:pPr>
      <w:r>
        <mc:AlternateContent>
          <mc:Choice Requires="wpg">
            <w:drawing>
              <wp:inline xmlns:wp="http://schemas.openxmlformats.org/drawingml/2006/wordprocessingDrawing" distT="0" distB="0" distL="0" distR="0">
                <wp:extent cx="3590925" cy="3200400"/>
                <wp:effectExtent l="0" t="0" r="0" b="0"/>
                <wp:docPr id="2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pic:cNvPicPr>
                        <pic:nvPr/>
                      </pic:nvPicPr>
                      <pic:blipFill rotWithShape="1">
                        <a:blip r:embed="rId38"/>
                        <a:stretch/>
                      </pic:blipFill>
                      <pic:spPr bwMode="auto">
                        <a:xfrm>
                          <a:off x="0" y="0"/>
                          <a:ext cx="3590925" cy="320040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7" o:spid="_x0000_s27" type="#_x0000_t75" style="width:282.75pt;height:252.00pt;mso-wrap-distance-left:0.00pt;mso-wrap-distance-top:0.00pt;mso-wrap-distance-right:0.00pt;mso-wrap-distance-bottom:0.00pt;z-index:1;" stroked="false">
                <v:imagedata r:id="rId38" o:title=""/>
                <o:lock v:ext="edit" rotation="t"/>
              </v:shape>
            </w:pict>
          </mc:Fallback>
        </mc:AlternateContent>
      </w:r>
      <w:r/>
    </w:p>
    <w:p>
      <w:pPr>
        <w:pBdr/>
        <w:spacing w:after="120"/>
        <w:ind/>
        <w:rPr/>
      </w:pPr>
      <w:r>
        <w:t xml:space="preserve">During the vMotion the VM remains responsive; only the final cutover causes a brief network pause of typically less than a second.</w:t>
      </w:r>
      <w:r/>
    </w:p>
    <w:p>
      <w:pPr>
        <w:pBdr/>
        <w:spacing/>
        <w:ind/>
        <w:rPr/>
      </w:pPr>
      <w:r/>
      <w:r/>
    </w:p>
    <w:p>
      <w:pPr>
        <w:pStyle w:val="828"/>
        <w:pBdr/>
        <w:spacing/>
        <w:ind/>
        <w:rPr/>
      </w:pPr>
      <w:r>
        <w:t xml:space="preserve">2.22  Managing Users, Roles, and Permissions</w:t>
      </w:r>
      <w:r/>
    </w:p>
    <w:p>
      <w:pPr>
        <w:pBdr/>
        <w:spacing w:after="120"/>
        <w:ind/>
        <w:rPr/>
      </w:pPr>
      <w:r>
        <w:t xml:space="preserve">vCenter integrates a Single Sign-On (SSO) domain that holds users and groups. By default the domain is vsphere.local. Permissions are assigned by combining a user (or group) with a role on a specific inventory object.</w:t>
      </w:r>
      <w:r/>
    </w:p>
    <w:p>
      <w:pPr>
        <w:pStyle w:val="829"/>
        <w:pBdr/>
        <w:spacing/>
        <w:ind/>
        <w:rPr/>
      </w:pPr>
      <w:r>
        <w:t xml:space="preserve">Creating a User</w:t>
      </w:r>
      <w:r/>
    </w:p>
    <w:p>
      <w:pPr>
        <w:pStyle w:val="819"/>
        <w:numPr>
          <w:ilvl w:val="0"/>
          <w:numId w:val="73"/>
        </w:numPr>
        <w:pBdr/>
        <w:spacing/>
        <w:ind/>
        <w:rPr/>
      </w:pPr>
      <w:r>
        <w:t xml:space="preserve">Open the navigation menu </w:t>
      </w:r>
      <w:r>
        <w:rPr>
          <w:b/>
          <w:bCs/>
        </w:rPr>
        <w:t xml:space="preserve">(☰)</w:t>
      </w:r>
      <w:r>
        <w:t xml:space="preserve"> and choose </w:t>
      </w:r>
      <w:r>
        <w:rPr>
          <w:b/>
          <w:bCs/>
        </w:rPr>
        <w:t xml:space="preserve">Administration</w:t>
      </w:r>
      <w:r>
        <w:t xml:space="preserve">.</w:t>
      </w:r>
      <w:r/>
    </w:p>
    <w:p>
      <w:pPr>
        <w:pStyle w:val="819"/>
        <w:numPr>
          <w:ilvl w:val="0"/>
          <w:numId w:val="73"/>
        </w:numPr>
        <w:pBdr/>
        <w:spacing/>
        <w:ind/>
        <w:rPr/>
      </w:pPr>
      <w:r>
        <w:t xml:space="preserve">Under </w:t>
      </w:r>
      <w:r>
        <w:rPr>
          <w:b/>
          <w:bCs/>
        </w:rPr>
        <w:t xml:space="preserve">Single Sign On → Users and Groups</w:t>
      </w:r>
      <w:r>
        <w:t xml:space="preserve">, confirm that the domain is set to </w:t>
      </w:r>
      <w:r>
        <w:rPr>
          <w:rFonts w:ascii="Consolas" w:hAnsi="Consolas" w:eastAsia="Consolas" w:cs="Consolas"/>
          <w:sz w:val="22"/>
          <w:szCs w:val="22"/>
        </w:rPr>
        <w:t xml:space="preserve">vsphere.local</w:t>
      </w:r>
      <w:r>
        <w:t xml:space="preserve">.</w:t>
      </w:r>
      <w:r/>
    </w:p>
    <w:p>
      <w:pPr>
        <w:pStyle w:val="819"/>
        <w:numPr>
          <w:ilvl w:val="0"/>
          <w:numId w:val="73"/>
        </w:numPr>
        <w:pBdr/>
        <w:spacing/>
        <w:ind/>
        <w:rPr/>
      </w:pPr>
      <w:r>
        <w:t xml:space="preserve">Click </w:t>
      </w:r>
      <w:r>
        <w:rPr>
          <w:b/>
          <w:bCs/>
        </w:rPr>
        <w:t xml:space="preserve">ADD → Create User</w:t>
      </w:r>
      <w:r>
        <w:t xml:space="preserve"> and provide the user details.</w:t>
      </w:r>
      <w:r/>
    </w:p>
    <w:p>
      <w:pPr>
        <w:pBdr/>
        <w:spacing w:after="120" w:before="120"/>
        <w:ind/>
        <w:jc w:val="center"/>
        <w:rPr/>
      </w:pPr>
      <w:r>
        <mc:AlternateContent>
          <mc:Choice Requires="wpg">
            <w:drawing>
              <wp:inline xmlns:wp="http://schemas.openxmlformats.org/drawingml/2006/wordprocessingDrawing" distT="0" distB="0" distL="0" distR="0">
                <wp:extent cx="5143500" cy="4924425"/>
                <wp:effectExtent l="0" t="0" r="0" b="0"/>
                <wp:docPr id="2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pic:cNvPicPr>
                        <pic:nvPr/>
                      </pic:nvPicPr>
                      <pic:blipFill rotWithShape="1">
                        <a:blip r:embed="rId39"/>
                        <a:stretch/>
                      </pic:blipFill>
                      <pic:spPr bwMode="auto">
                        <a:xfrm>
                          <a:off x="0" y="0"/>
                          <a:ext cx="5143500" cy="492442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8" o:spid="_x0000_s28" type="#_x0000_t75" style="width:405.00pt;height:387.75pt;mso-wrap-distance-left:0.00pt;mso-wrap-distance-top:0.00pt;mso-wrap-distance-right:0.00pt;mso-wrap-distance-bottom:0.00pt;z-index:1;" stroked="false">
                <v:imagedata r:id="rId39" o:title=""/>
                <o:lock v:ext="edit" rotation="t"/>
              </v:shape>
            </w:pict>
          </mc:Fallback>
        </mc:AlternateContent>
      </w:r>
      <w:r/>
    </w:p>
    <w:p>
      <w:pPr>
        <w:pStyle w:val="829"/>
        <w:pBdr/>
        <w:spacing/>
        <w:ind/>
        <w:rPr/>
      </w:pPr>
      <w:r>
        <w:t xml:space="preserve">Creating a Custom Role</w:t>
      </w:r>
      <w:r/>
    </w:p>
    <w:p>
      <w:pPr>
        <w:pStyle w:val="819"/>
        <w:numPr>
          <w:ilvl w:val="0"/>
          <w:numId w:val="74"/>
        </w:numPr>
        <w:pBdr/>
        <w:spacing/>
        <w:ind/>
        <w:rPr/>
      </w:pPr>
      <w:r>
        <w:t xml:space="preserve">In the left sidebar, navigate to </w:t>
      </w:r>
      <w:r>
        <w:rPr>
          <w:b/>
          <w:bCs/>
        </w:rPr>
        <w:t xml:space="preserve">Access Control → Roles</w:t>
      </w:r>
      <w:r>
        <w:t xml:space="preserve"> and click </w:t>
      </w:r>
      <w:r>
        <w:rPr>
          <w:b/>
          <w:bCs/>
        </w:rPr>
        <w:t xml:space="preserve">New</w:t>
      </w:r>
      <w:r>
        <w:t xml:space="preserve">.</w:t>
      </w:r>
      <w:r/>
    </w:p>
    <w:p>
      <w:pPr>
        <w:pBdr/>
        <w:spacing w:after="120" w:before="120"/>
        <w:ind/>
        <w:jc w:val="center"/>
        <w:rPr/>
      </w:pPr>
      <w:r>
        <mc:AlternateContent>
          <mc:Choice Requires="wpg">
            <w:drawing>
              <wp:inline xmlns:wp="http://schemas.openxmlformats.org/drawingml/2006/wordprocessingDrawing" distT="0" distB="0" distL="0" distR="0">
                <wp:extent cx="5143500" cy="3990975"/>
                <wp:effectExtent l="0" t="0" r="0" b="0"/>
                <wp:docPr id="3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pic:cNvPicPr>
                        <pic:nvPr/>
                      </pic:nvPicPr>
                      <pic:blipFill rotWithShape="1">
                        <a:blip r:embed="rId40"/>
                        <a:stretch/>
                      </pic:blipFill>
                      <pic:spPr bwMode="auto">
                        <a:xfrm>
                          <a:off x="0" y="0"/>
                          <a:ext cx="5143500" cy="399097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9" o:spid="_x0000_s29" type="#_x0000_t75" style="width:405.00pt;height:314.25pt;mso-wrap-distance-left:0.00pt;mso-wrap-distance-top:0.00pt;mso-wrap-distance-right:0.00pt;mso-wrap-distance-bottom:0.00pt;z-index:1;" stroked="false">
                <v:imagedata r:id="rId40" o:title=""/>
                <o:lock v:ext="edit" rotation="t"/>
              </v:shape>
            </w:pict>
          </mc:Fallback>
        </mc:AlternateContent>
      </w:r>
      <w:r/>
    </w:p>
    <w:p>
      <w:pPr>
        <w:pStyle w:val="819"/>
        <w:numPr>
          <w:ilvl w:val="0"/>
          <w:numId w:val="74"/>
        </w:numPr>
        <w:pBdr/>
        <w:spacing/>
        <w:ind/>
        <w:rPr/>
      </w:pPr>
      <w:r>
        <w:t xml:space="preserve">Choose only the privileges actually required for the role (principle of least privilege). For example, a "VM Operator" role might be limited to Virtual machine → Interaction → Power On / Power Off and Console interaction.</w:t>
      </w:r>
      <w:r/>
    </w:p>
    <w:p>
      <w:pPr>
        <w:pStyle w:val="819"/>
        <w:numPr>
          <w:ilvl w:val="0"/>
          <w:numId w:val="74"/>
        </w:numPr>
        <w:pBdr/>
        <w:spacing/>
        <w:ind/>
        <w:rPr/>
      </w:pPr>
      <w:r>
        <w:t xml:space="preserve">Click Create.</w:t>
      </w:r>
      <w:r/>
    </w:p>
    <w:p>
      <w:pPr>
        <w:pStyle w:val="829"/>
        <w:pBdr/>
        <w:spacing/>
        <w:ind/>
        <w:rPr/>
      </w:pPr>
      <w:r>
        <w:t xml:space="preserve">Assigning Permissions</w:t>
      </w:r>
      <w:r/>
    </w:p>
    <w:p>
      <w:pPr>
        <w:pStyle w:val="819"/>
        <w:numPr>
          <w:ilvl w:val="0"/>
          <w:numId w:val="75"/>
        </w:numPr>
        <w:pBdr/>
        <w:spacing/>
        <w:ind/>
        <w:rPr/>
      </w:pPr>
      <w:r>
        <w:t xml:space="preserve">In </w:t>
      </w:r>
      <w:r>
        <w:rPr>
          <w:b/>
          <w:bCs/>
        </w:rPr>
        <w:t xml:space="preserve">Hosts and Clusters</w:t>
      </w:r>
      <w:r>
        <w:t xml:space="preserve">, select the inventory object on which the permission should apply (Datacenter, Cluster, Host, or individual VM).</w:t>
      </w:r>
      <w:r/>
    </w:p>
    <w:p>
      <w:pPr>
        <w:pStyle w:val="819"/>
        <w:numPr>
          <w:ilvl w:val="0"/>
          <w:numId w:val="75"/>
        </w:numPr>
        <w:pBdr/>
        <w:spacing/>
        <w:ind/>
        <w:rPr/>
      </w:pPr>
      <w:r>
        <w:t xml:space="preserve">Right-click and choose Add Permission.</w:t>
      </w:r>
      <w:r/>
    </w:p>
    <w:p>
      <w:pPr>
        <w:pStyle w:val="819"/>
        <w:numPr>
          <w:ilvl w:val="0"/>
          <w:numId w:val="75"/>
        </w:numPr>
        <w:pBdr/>
        <w:spacing/>
        <w:ind/>
        <w:rPr/>
      </w:pPr>
      <w:r>
        <w:t xml:space="preserve">Fill in the wizard:</w:t>
      </w:r>
      <w:r/>
    </w:p>
    <w:p>
      <w:pPr>
        <w:pStyle w:val="819"/>
        <w:numPr>
          <w:ilvl w:val="0"/>
          <w:numId w:val="2"/>
        </w:numPr>
        <w:pBdr/>
        <w:spacing/>
        <w:ind/>
        <w:rPr/>
      </w:pPr>
      <w:r>
        <w:rPr>
          <w:b/>
          <w:bCs/>
        </w:rPr>
        <w:t xml:space="preserve">Domain: </w:t>
      </w:r>
      <w:r>
        <w:rPr>
          <w:rFonts w:ascii="Consolas" w:hAnsi="Consolas" w:eastAsia="Consolas" w:cs="Consolas"/>
          <w:sz w:val="22"/>
          <w:szCs w:val="22"/>
        </w:rPr>
        <w:t xml:space="preserve">vsphere.local</w:t>
      </w:r>
      <w:r/>
    </w:p>
    <w:p>
      <w:pPr>
        <w:pStyle w:val="819"/>
        <w:numPr>
          <w:ilvl w:val="0"/>
          <w:numId w:val="2"/>
        </w:numPr>
        <w:pBdr/>
        <w:spacing/>
        <w:ind/>
        <w:rPr/>
      </w:pPr>
      <w:r>
        <w:rPr>
          <w:b/>
          <w:bCs/>
        </w:rPr>
        <w:t xml:space="preserve">User / Group: </w:t>
      </w:r>
      <w:r>
        <w:t xml:space="preserve">Select the user.</w:t>
      </w:r>
      <w:r/>
    </w:p>
    <w:p>
      <w:pPr>
        <w:pStyle w:val="819"/>
        <w:numPr>
          <w:ilvl w:val="0"/>
          <w:numId w:val="2"/>
        </w:numPr>
        <w:pBdr/>
        <w:spacing/>
        <w:ind/>
        <w:rPr/>
      </w:pPr>
      <w:r>
        <w:rPr>
          <w:b/>
          <w:bCs/>
        </w:rPr>
        <w:t xml:space="preserve">Role: </w:t>
      </w:r>
      <w:r>
        <w:t xml:space="preserve">Select the custom role (e.g. VM-Operator).</w:t>
      </w:r>
      <w:r/>
    </w:p>
    <w:p>
      <w:pPr>
        <w:pStyle w:val="819"/>
        <w:numPr>
          <w:ilvl w:val="0"/>
          <w:numId w:val="2"/>
        </w:numPr>
        <w:pBdr/>
        <w:spacing/>
        <w:ind/>
        <w:rPr/>
      </w:pPr>
      <w:r>
        <w:rPr>
          <w:b/>
          <w:bCs/>
        </w:rPr>
        <w:t xml:space="preserve">Propagate to children: </w:t>
      </w:r>
      <w:r>
        <w:t xml:space="preserve">Enable to inherit the permission on all child objects of the selected object.</w:t>
      </w:r>
      <w:r/>
    </w:p>
    <w:p>
      <w:pPr>
        <w:pBdr/>
        <w:spacing/>
        <w:ind/>
        <w:rPr/>
      </w:pPr>
      <w:r/>
      <w:r/>
    </w:p>
    <w:p>
      <w:pPr>
        <w:pStyle w:val="828"/>
        <w:pBdr/>
        <w:spacing/>
        <w:ind/>
        <w:rPr/>
      </w:pPr>
      <w:r>
        <w:t xml:space="preserve">2.23  Patching the Hypervisor</w:t>
      </w:r>
      <w:r/>
    </w:p>
    <w:p>
      <w:pPr>
        <w:pBdr/>
        <w:spacing w:after="120"/>
        <w:ind/>
        <w:rPr/>
      </w:pPr>
      <w:r>
        <w:t xml:space="preserve">vSphere Lifecycle Manager (vLCM) is the central tool for tracking and applying patches to ESXi hosts. Patches are organised in baselines that describe a desired patch level.</w:t>
      </w:r>
      <w:r/>
    </w:p>
    <w:p>
      <w:pPr>
        <w:pStyle w:val="829"/>
        <w:pBdr/>
        <w:spacing/>
        <w:ind/>
        <w:rPr/>
      </w:pPr>
      <w:r>
        <w:t xml:space="preserve">Initial State</w:t>
      </w:r>
      <w:r/>
    </w:p>
    <w:p>
      <w:pPr>
        <w:pBdr/>
        <w:spacing w:after="120"/>
        <w:ind/>
        <w:rPr/>
      </w:pPr>
      <w:r>
        <w:t xml:space="preserve">The ESXi hosts in this project were installed with a current ESXi 8.0 U2 image. The patch workflow described below was therefore executed to demonstrate the procedure even though no patches were pending at the time.</w:t>
      </w:r>
      <w:r/>
    </w:p>
    <w:p>
      <w:pPr>
        <w:pStyle w:val="830"/>
        <w:pBdr/>
        <w:spacing/>
        <w:ind/>
        <w:rPr/>
      </w:pPr>
      <w:r>
        <w:t xml:space="preserve">Step 1 — Open the vSphere Lifecycle Manager</w:t>
      </w:r>
      <w:r/>
    </w:p>
    <w:p>
      <w:pPr>
        <w:pStyle w:val="819"/>
        <w:numPr>
          <w:ilvl w:val="0"/>
          <w:numId w:val="76"/>
        </w:numPr>
        <w:pBdr/>
        <w:spacing/>
        <w:ind/>
        <w:rPr/>
      </w:pPr>
      <w:r>
        <w:t xml:space="preserve">In the vSphere Client, navigate to </w:t>
      </w:r>
      <w:r>
        <w:rPr>
          <w:b/>
          <w:bCs/>
        </w:rPr>
        <w:t xml:space="preserve">Menu → Lifecycle Manager</w:t>
      </w:r>
      <w:r>
        <w:t xml:space="preserve">.</w:t>
      </w:r>
      <w:r/>
    </w:p>
    <w:p>
      <w:pPr>
        <w:pStyle w:val="830"/>
        <w:pBdr/>
        <w:spacing/>
        <w:ind/>
        <w:rPr/>
      </w:pPr>
      <w:r>
        <w:t xml:space="preserve">Step 2 — Verify the Patch Source</w:t>
      </w:r>
      <w:r/>
    </w:p>
    <w:p>
      <w:pPr>
        <w:pStyle w:val="819"/>
        <w:numPr>
          <w:ilvl w:val="0"/>
          <w:numId w:val="77"/>
        </w:numPr>
        <w:pBdr/>
        <w:spacing/>
        <w:ind/>
        <w:rPr/>
      </w:pPr>
      <w:r>
        <w:t xml:space="preserve">Open </w:t>
      </w:r>
      <w:r>
        <w:rPr>
          <w:b/>
          <w:bCs/>
        </w:rPr>
        <w:t xml:space="preserve">Settings → Patch Downloads</w:t>
      </w:r>
      <w:r>
        <w:t xml:space="preserve"> and confirm that the VMware Online Depot is configured and reachable. Trigger a manual </w:t>
      </w:r>
      <w:r>
        <w:rPr>
          <w:b/>
          <w:bCs/>
        </w:rPr>
        <w:t xml:space="preserve">Sync Updates</w:t>
      </w:r>
      <w:r>
        <w:t xml:space="preserve"> if needed.</w:t>
      </w:r>
      <w:r/>
    </w:p>
    <w:p>
      <w:pPr>
        <w:pStyle w:val="830"/>
        <w:pBdr/>
        <w:spacing/>
        <w:ind/>
        <w:rPr/>
      </w:pPr>
      <w:r>
        <w:t xml:space="preserve">Step 3 — Attach a Baseline to the Host</w:t>
      </w:r>
      <w:r/>
    </w:p>
    <w:p>
      <w:pPr>
        <w:pStyle w:val="819"/>
        <w:numPr>
          <w:ilvl w:val="0"/>
          <w:numId w:val="78"/>
        </w:numPr>
        <w:pBdr/>
        <w:spacing/>
        <w:ind/>
        <w:rPr/>
      </w:pPr>
      <w:r>
        <w:t xml:space="preserve">Navigate to </w:t>
      </w:r>
      <w:r>
        <w:rPr>
          <w:b/>
          <w:bCs/>
        </w:rPr>
        <w:t xml:space="preserve">Hosts and Clusters → [ESXi Host] → Updates → Baselines</w:t>
      </w:r>
      <w:r>
        <w:t xml:space="preserve">.</w:t>
      </w:r>
      <w:r/>
    </w:p>
    <w:p>
      <w:pPr>
        <w:pStyle w:val="819"/>
        <w:numPr>
          <w:ilvl w:val="0"/>
          <w:numId w:val="78"/>
        </w:numPr>
        <w:pBdr/>
        <w:spacing/>
        <w:ind/>
        <w:rPr/>
      </w:pPr>
      <w:r>
        <w:t xml:space="preserve">Click </w:t>
      </w:r>
      <w:r>
        <w:rPr>
          <w:b/>
          <w:bCs/>
        </w:rPr>
        <w:t xml:space="preserve">ATTACH</w:t>
      </w:r>
      <w:r>
        <w:t xml:space="preserve"> and select the predefined baseline </w:t>
      </w:r>
      <w:r>
        <w:rPr>
          <w:b/>
          <w:bCs/>
        </w:rPr>
        <w:t xml:space="preserve">Critical Host Patches (Predefined)</w:t>
      </w:r>
      <w:r>
        <w:t xml:space="preserve">.</w:t>
      </w:r>
      <w:r/>
    </w:p>
    <w:p>
      <w:pPr>
        <w:pBdr/>
        <w:spacing w:after="120" w:before="120"/>
        <w:ind/>
        <w:jc w:val="center"/>
        <w:rPr/>
      </w:pPr>
      <w:r>
        <mc:AlternateContent>
          <mc:Choice Requires="wpg">
            <w:drawing>
              <wp:inline xmlns:wp="http://schemas.openxmlformats.org/drawingml/2006/wordprocessingDrawing" distT="0" distB="0" distL="0" distR="0">
                <wp:extent cx="5143500" cy="1066800"/>
                <wp:effectExtent l="0" t="0" r="0" b="0"/>
                <wp:docPr id="3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pic:cNvPicPr>
                        <pic:nvPr/>
                      </pic:nvPicPr>
                      <pic:blipFill rotWithShape="1">
                        <a:blip r:embed="rId41"/>
                        <a:stretch/>
                      </pic:blipFill>
                      <pic:spPr bwMode="auto">
                        <a:xfrm>
                          <a:off x="0" y="0"/>
                          <a:ext cx="5143500" cy="106680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0" o:spid="_x0000_s30" type="#_x0000_t75" style="width:405.00pt;height:84.00pt;mso-wrap-distance-left:0.00pt;mso-wrap-distance-top:0.00pt;mso-wrap-distance-right:0.00pt;mso-wrap-distance-bottom:0.00pt;z-index:1;" stroked="false">
                <v:imagedata r:id="rId41" o:title=""/>
                <o:lock v:ext="edit" rotation="t"/>
              </v:shape>
            </w:pict>
          </mc:Fallback>
        </mc:AlternateContent>
      </w:r>
      <w:r/>
    </w:p>
    <w:p>
      <w:pPr>
        <w:pStyle w:val="830"/>
        <w:pBdr/>
        <w:spacing/>
        <w:ind/>
        <w:rPr/>
      </w:pPr>
      <w:r>
        <w:t xml:space="preserve">Step 4 — Run a Compliance Check</w:t>
      </w:r>
      <w:r/>
    </w:p>
    <w:p>
      <w:pPr>
        <w:pStyle w:val="819"/>
        <w:numPr>
          <w:ilvl w:val="0"/>
          <w:numId w:val="79"/>
        </w:numPr>
        <w:pBdr/>
        <w:spacing/>
        <w:ind/>
        <w:rPr/>
      </w:pPr>
      <w:r>
        <w:t xml:space="preserve">Click </w:t>
      </w:r>
      <w:r>
        <w:rPr>
          <w:b/>
          <w:bCs/>
        </w:rPr>
        <w:t xml:space="preserve">CHECK COMPLIANCE</w:t>
      </w:r>
      <w:r>
        <w:t xml:space="preserve">. The host is compared against the attached baseline.</w:t>
      </w:r>
      <w:r/>
    </w:p>
    <w:p>
      <w:pPr>
        <w:pBdr/>
        <w:spacing w:after="120"/>
        <w:ind/>
        <w:rPr/>
      </w:pPr>
      <w:r>
        <w:t xml:space="preserve">Result: the host was reported as Compliant, indicating that no updates from the baseline were missing.</w:t>
      </w:r>
      <w:r/>
    </w:p>
    <w:p>
      <w:pPr>
        <w:pStyle w:val="829"/>
        <w:pBdr/>
        <w:spacing/>
        <w:ind/>
        <w:rPr/>
      </w:pPr>
      <w:r>
        <w:t xml:space="preserve">Theoretical Remediation Workflow</w:t>
      </w:r>
      <w:r/>
    </w:p>
    <w:p>
      <w:pPr>
        <w:pBdr/>
        <w:spacing w:after="120"/>
        <w:ind/>
        <w:rPr/>
      </w:pPr>
      <w:r>
        <w:t xml:space="preserve">Had the host been reported as non-compliant, the patch procedure would continue as follows:</w:t>
      </w:r>
      <w:r/>
    </w:p>
    <w:p>
      <w:pPr>
        <w:pStyle w:val="819"/>
        <w:numPr>
          <w:ilvl w:val="0"/>
          <w:numId w:val="80"/>
        </w:numPr>
        <w:pBdr/>
        <w:spacing/>
        <w:ind/>
        <w:rPr/>
      </w:pPr>
      <w:r>
        <w:t xml:space="preserve">Migrate all running VMs to another host via vMotion.</w:t>
      </w:r>
      <w:r/>
    </w:p>
    <w:p>
      <w:pPr>
        <w:pStyle w:val="819"/>
        <w:numPr>
          <w:ilvl w:val="0"/>
          <w:numId w:val="80"/>
        </w:numPr>
        <w:pBdr/>
        <w:spacing/>
        <w:ind/>
        <w:rPr/>
      </w:pPr>
      <w:r>
        <w:t xml:space="preserve">Place the host in Maintenance Mode.</w:t>
      </w:r>
      <w:r/>
    </w:p>
    <w:p>
      <w:pPr>
        <w:pStyle w:val="819"/>
        <w:numPr>
          <w:ilvl w:val="0"/>
          <w:numId w:val="80"/>
        </w:numPr>
        <w:pBdr/>
        <w:spacing/>
        <w:ind/>
        <w:rPr/>
      </w:pPr>
      <w:r>
        <w:t xml:space="preserve">Click </w:t>
      </w:r>
      <w:r>
        <w:rPr>
          <w:b/>
          <w:bCs/>
        </w:rPr>
        <w:t xml:space="preserve">REMEDIATE</w:t>
      </w:r>
      <w:r>
        <w:t xml:space="preserve"> on the Updates tab, select the baseline, and confirm the operation.</w:t>
      </w:r>
      <w:r/>
    </w:p>
    <w:p>
      <w:pPr>
        <w:pStyle w:val="819"/>
        <w:numPr>
          <w:ilvl w:val="0"/>
          <w:numId w:val="80"/>
        </w:numPr>
        <w:pBdr/>
        <w:spacing/>
        <w:ind/>
        <w:rPr/>
      </w:pPr>
      <w:r>
        <w:t xml:space="preserve">The host downloads, installs the patches, and reboots automatically.</w:t>
      </w:r>
      <w:r/>
    </w:p>
    <w:p>
      <w:pPr>
        <w:pStyle w:val="819"/>
        <w:numPr>
          <w:ilvl w:val="0"/>
          <w:numId w:val="80"/>
        </w:numPr>
        <w:pBdr/>
        <w:spacing/>
        <w:ind/>
        <w:rPr/>
      </w:pPr>
      <w:r>
        <w:t xml:space="preserve">Run another compliance check to confirm the new patch level.</w:t>
      </w:r>
      <w:r/>
    </w:p>
    <w:p>
      <w:pPr>
        <w:pStyle w:val="819"/>
        <w:numPr>
          <w:ilvl w:val="0"/>
          <w:numId w:val="80"/>
        </w:numPr>
        <w:pBdr/>
        <w:spacing/>
        <w:ind/>
        <w:rPr/>
      </w:pPr>
      <w:r>
        <w:t xml:space="preserve">Exit Maintenance Mode and (optionally) migrate VMs back.</w:t>
      </w:r>
      <w:r/>
    </w:p>
    <w:p>
      <w:pPr>
        <w:pBdr>
          <w:top w:val="single" w:color="2e74b5" w:sz="6" w:space="0"/>
          <w:left w:val="single" w:color="2e74b5" w:sz="18" w:space="0"/>
          <w:bottom w:val="single" w:color="2e74b5" w:sz="6" w:space="0"/>
          <w:right w:val="single" w:color="2e74b5" w:sz="6" w:space="0"/>
        </w:pBdr>
        <w:shd w:val="clear" w:color="auto" w:fill="eaf1fb"/>
        <w:spacing w:after="150" w:before="150"/>
        <w:ind/>
        <w:rPr/>
      </w:pPr>
      <w:r>
        <w:rPr>
          <w:b/>
          <w:bCs/>
          <w:color w:val="1f3864"/>
        </w:rPr>
        <w:t xml:space="preserve">Production best practice: </w:t>
      </w:r>
      <w:r>
        <w:t xml:space="preserve">Patches should always be staged: apply them first to a non-production host or cluster to detect compatibility issues, then progress through production hosts one at a time. A host configuration backup (see section 2.4) should be taken beforehand.</w:t>
      </w:r>
      <w:r/>
    </w:p>
    <w:p>
      <w:pPr>
        <w:pBdr/>
        <w:spacing/>
        <w:ind/>
        <w:rPr/>
      </w:pPr>
      <w:r/>
      <w:r/>
    </w:p>
    <w:p>
      <w:pPr>
        <w:pStyle w:val="827"/>
        <w:pageBreakBefore w:val="true"/>
        <w:pBdr/>
        <w:spacing/>
        <w:ind/>
        <w:rPr/>
      </w:pPr>
      <w:r>
        <w:t xml:space="preserve">Part III — Specialisation: High Availability</w:t>
      </w:r>
      <w:r/>
    </w:p>
    <w:p>
      <w:pPr>
        <w:pStyle w:val="828"/>
        <w:pBdr/>
        <w:spacing/>
        <w:ind/>
        <w:rPr/>
      </w:pPr>
      <w:r>
        <w:t xml:space="preserve">3.1  Concept</w:t>
      </w:r>
      <w:r/>
    </w:p>
    <w:p>
      <w:pPr>
        <w:pBdr/>
        <w:spacing w:after="120"/>
        <w:ind/>
        <w:rPr/>
      </w:pPr>
      <w:r>
        <w:t xml:space="preserve">vSphere High Availability (HA) is a cluster-level feature that protects virtual machines against the failure of a physical ESXi host. When a host becomes unreachable, HA autom</w:t>
      </w:r>
      <w:r>
        <w:t xml:space="preserve">atically restarts the affected VMs on the remaining healthy hosts in the cluster. HA is not a "live" technology — affected VMs incur a brief downtime equivalent to a forced reboot — but the recovery is fully automatic and requires no operator intervention.</w:t>
      </w:r>
      <w:r/>
    </w:p>
    <w:p>
      <w:pPr>
        <w:pStyle w:val="829"/>
        <w:pBdr/>
        <w:spacing/>
        <w:ind/>
        <w:rPr/>
      </w:pPr>
      <w:r>
        <w:t xml:space="preserve">How HA Detects Failures</w:t>
      </w:r>
      <w:r/>
    </w:p>
    <w:p>
      <w:pPr>
        <w:pBdr/>
        <w:spacing w:after="120"/>
        <w:ind/>
        <w:rPr/>
      </w:pPr>
      <w:r>
        <w:t xml:space="preserve">Each cluster has an automatically elected HA master host. The master continuously communicates with the other (slave) hosts via two independent channels:</w:t>
      </w:r>
      <w:r/>
    </w:p>
    <w:p>
      <w:pPr>
        <w:pStyle w:val="819"/>
        <w:numPr>
          <w:ilvl w:val="0"/>
          <w:numId w:val="2"/>
        </w:numPr>
        <w:pBdr/>
        <w:spacing/>
        <w:ind/>
        <w:rPr/>
      </w:pPr>
      <w:r>
        <w:rPr>
          <w:b/>
          <w:bCs/>
        </w:rPr>
        <w:t xml:space="preserve">Network heartbeats </w:t>
      </w:r>
      <w:r>
        <w:t xml:space="preserve">over the management network — the primary detection channel.</w:t>
      </w:r>
      <w:r/>
    </w:p>
    <w:p>
      <w:pPr>
        <w:pStyle w:val="819"/>
        <w:numPr>
          <w:ilvl w:val="0"/>
          <w:numId w:val="2"/>
        </w:numPr>
        <w:pBdr/>
        <w:spacing/>
        <w:ind/>
        <w:rPr/>
      </w:pPr>
      <w:r>
        <w:rPr>
          <w:b/>
          <w:bCs/>
        </w:rPr>
        <w:t xml:space="preserve">Datastore heartbeats </w:t>
      </w:r>
      <w:r>
        <w:t xml:space="preserve">written to shared datastores — a secondary channel that allows the master to distinguish between an actual host failure and a network-only isolation event.</w:t>
      </w:r>
      <w:r/>
    </w:p>
    <w:p>
      <w:pPr>
        <w:pBdr/>
        <w:spacing w:after="120"/>
        <w:ind/>
        <w:rPr/>
      </w:pPr>
      <w:r>
        <w:t xml:space="preserve">If a host stops responding on both channels, HA treats it as failed and begins restarting its VMs on the surviving hosts.</w:t>
      </w:r>
      <w:r/>
    </w:p>
    <w:p>
      <w:pPr>
        <w:pStyle w:val="829"/>
        <w:pBdr/>
        <w:spacing/>
        <w:ind/>
        <w:rPr/>
      </w:pPr>
      <w:r>
        <w:t xml:space="preserve">What HA Is and Is Not</w:t>
      </w:r>
      <w:r/>
    </w:p>
    <w:tbl>
      <w:tblPr>
        <w:tblW w:w="936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120"/>
        <w:gridCol w:w="6240"/>
      </w:tblGrid>
      <w:tr>
        <w:trPr/>
        <w:tc>
          <w:tcPr>
            <w:shd w:val="clear" w:color="auto" w:fill="2e74b5"/>
            <w:tcBorders>
              <w:top w:val="single" w:color="cccccc" w:sz="4" w:space="0"/>
              <w:left w:val="single" w:color="cccccc" w:sz="4" w:space="0"/>
              <w:bottom w:val="single" w:color="cccccc" w:sz="4" w:space="0"/>
              <w:right w:val="single" w:color="cccccc" w:sz="4" w:space="0"/>
            </w:tcBorders>
            <w:tcMar>
              <w:left w:w="120" w:type="dxa"/>
              <w:top w:w="80" w:type="dxa"/>
              <w:right w:w="120" w:type="dxa"/>
              <w:bottom w:w="80" w:type="dxa"/>
            </w:tcMar>
            <w:tcW w:w="3120" w:type="dxa"/>
            <w:textDirection w:val="lrTb"/>
            <w:noWrap w:val="false"/>
          </w:tcPr>
          <w:p>
            <w:pPr>
              <w:pBdr/>
              <w:spacing/>
              <w:ind/>
              <w:rPr/>
            </w:pPr>
            <w:r>
              <w:rPr>
                <w:b/>
                <w:bCs/>
                <w:color w:val="ffffff"/>
              </w:rPr>
              <w:t xml:space="preserve">Feature</w:t>
            </w:r>
            <w:r/>
          </w:p>
        </w:tc>
        <w:tc>
          <w:tcPr>
            <w:shd w:val="clear" w:color="auto" w:fill="2e74b5"/>
            <w:tcBorders>
              <w:top w:val="single" w:color="cccccc" w:sz="4" w:space="0"/>
              <w:left w:val="single" w:color="cccccc" w:sz="4" w:space="0"/>
              <w:bottom w:val="single" w:color="cccccc" w:sz="4" w:space="0"/>
              <w:right w:val="single" w:color="cccccc" w:sz="4" w:space="0"/>
            </w:tcBorders>
            <w:tcMar>
              <w:left w:w="120" w:type="dxa"/>
              <w:top w:w="80" w:type="dxa"/>
              <w:right w:w="120" w:type="dxa"/>
              <w:bottom w:w="80" w:type="dxa"/>
            </w:tcMar>
            <w:tcW w:w="6240" w:type="dxa"/>
            <w:textDirection w:val="lrTb"/>
            <w:noWrap w:val="false"/>
          </w:tcPr>
          <w:p>
            <w:pPr>
              <w:pBdr/>
              <w:spacing/>
              <w:ind/>
              <w:rPr/>
            </w:pPr>
            <w:r>
              <w:rPr>
                <w:b/>
                <w:bCs/>
                <w:color w:val="ffffff"/>
              </w:rPr>
              <w:t xml:space="preserve">Provides</w:t>
            </w:r>
            <w:r/>
          </w:p>
        </w:tc>
      </w:tr>
      <w:tr>
        <w:trPr/>
        <w:tc>
          <w:tcPr>
            <w:tcBorders>
              <w:top w:val="single" w:color="cccccc" w:sz="4" w:space="0"/>
              <w:left w:val="single" w:color="cccccc" w:sz="4" w:space="0"/>
              <w:bottom w:val="single" w:color="cccccc" w:sz="4" w:space="0"/>
              <w:right w:val="single" w:color="cccccc" w:sz="4" w:space="0"/>
            </w:tcBorders>
            <w:tcMar>
              <w:left w:w="120" w:type="dxa"/>
              <w:top w:w="80" w:type="dxa"/>
              <w:right w:w="120" w:type="dxa"/>
              <w:bottom w:w="80" w:type="dxa"/>
            </w:tcMar>
            <w:tcW w:w="3120" w:type="dxa"/>
            <w:textDirection w:val="lrTb"/>
            <w:noWrap w:val="false"/>
          </w:tcPr>
          <w:p>
            <w:pPr>
              <w:pBdr/>
              <w:spacing/>
              <w:ind/>
              <w:rPr/>
            </w:pPr>
            <w:r>
              <w:rPr>
                <w:b w:val="0"/>
                <w:bCs w:val="0"/>
              </w:rPr>
              <w:t xml:space="preserve">vMotion</w:t>
            </w:r>
            <w:r/>
          </w:p>
        </w:tc>
        <w:tc>
          <w:tcPr>
            <w:tcBorders>
              <w:top w:val="single" w:color="cccccc" w:sz="4" w:space="0"/>
              <w:left w:val="single" w:color="cccccc" w:sz="4" w:space="0"/>
              <w:bottom w:val="single" w:color="cccccc" w:sz="4" w:space="0"/>
              <w:right w:val="single" w:color="cccccc" w:sz="4" w:space="0"/>
            </w:tcBorders>
            <w:tcMar>
              <w:left w:w="120" w:type="dxa"/>
              <w:top w:w="80" w:type="dxa"/>
              <w:right w:w="120" w:type="dxa"/>
              <w:bottom w:w="80" w:type="dxa"/>
            </w:tcMar>
            <w:tcW w:w="6240" w:type="dxa"/>
            <w:textDirection w:val="lrTb"/>
            <w:noWrap w:val="false"/>
          </w:tcPr>
          <w:p>
            <w:pPr>
              <w:pBdr/>
              <w:spacing/>
              <w:ind/>
              <w:rPr/>
            </w:pPr>
            <w:r>
              <w:rPr>
                <w:b w:val="0"/>
                <w:bCs w:val="0"/>
              </w:rPr>
              <w:t xml:space="preserve">Live VM migration with no downtime — for planned operations only.</w:t>
            </w:r>
            <w:r/>
          </w:p>
        </w:tc>
      </w:tr>
      <w:tr>
        <w:trPr/>
        <w:tc>
          <w:tcPr>
            <w:tcBorders>
              <w:top w:val="single" w:color="cccccc" w:sz="4" w:space="0"/>
              <w:left w:val="single" w:color="cccccc" w:sz="4" w:space="0"/>
              <w:bottom w:val="single" w:color="cccccc" w:sz="4" w:space="0"/>
              <w:right w:val="single" w:color="cccccc" w:sz="4" w:space="0"/>
            </w:tcBorders>
            <w:tcMar>
              <w:left w:w="120" w:type="dxa"/>
              <w:top w:w="80" w:type="dxa"/>
              <w:right w:w="120" w:type="dxa"/>
              <w:bottom w:w="80" w:type="dxa"/>
            </w:tcMar>
            <w:tcW w:w="3120" w:type="dxa"/>
            <w:textDirection w:val="lrTb"/>
            <w:noWrap w:val="false"/>
          </w:tcPr>
          <w:p>
            <w:pPr>
              <w:pBdr/>
              <w:spacing/>
              <w:ind/>
              <w:rPr/>
            </w:pPr>
            <w:r>
              <w:rPr>
                <w:b w:val="0"/>
                <w:bCs w:val="0"/>
              </w:rPr>
              <w:t xml:space="preserve">HA</w:t>
            </w:r>
            <w:r/>
          </w:p>
        </w:tc>
        <w:tc>
          <w:tcPr>
            <w:tcBorders>
              <w:top w:val="single" w:color="cccccc" w:sz="4" w:space="0"/>
              <w:left w:val="single" w:color="cccccc" w:sz="4" w:space="0"/>
              <w:bottom w:val="single" w:color="cccccc" w:sz="4" w:space="0"/>
              <w:right w:val="single" w:color="cccccc" w:sz="4" w:space="0"/>
            </w:tcBorders>
            <w:tcMar>
              <w:left w:w="120" w:type="dxa"/>
              <w:top w:w="80" w:type="dxa"/>
              <w:right w:w="120" w:type="dxa"/>
              <w:bottom w:w="80" w:type="dxa"/>
            </w:tcMar>
            <w:tcW w:w="6240" w:type="dxa"/>
            <w:textDirection w:val="lrTb"/>
            <w:noWrap w:val="false"/>
          </w:tcPr>
          <w:p>
            <w:pPr>
              <w:pBdr/>
              <w:spacing/>
              <w:ind/>
              <w:rPr/>
            </w:pPr>
            <w:r>
              <w:rPr>
                <w:b w:val="0"/>
                <w:bCs w:val="0"/>
              </w:rPr>
              <w:t xml:space="preserve">Automatic restart of VMs after an unexpected host failure — brief downtime.</w:t>
            </w:r>
            <w:r/>
          </w:p>
        </w:tc>
      </w:tr>
      <w:tr>
        <w:trPr/>
        <w:tc>
          <w:tcPr>
            <w:tcBorders>
              <w:top w:val="single" w:color="cccccc" w:sz="4" w:space="0"/>
              <w:left w:val="single" w:color="cccccc" w:sz="4" w:space="0"/>
              <w:bottom w:val="single" w:color="cccccc" w:sz="4" w:space="0"/>
              <w:right w:val="single" w:color="cccccc" w:sz="4" w:space="0"/>
            </w:tcBorders>
            <w:tcMar>
              <w:left w:w="120" w:type="dxa"/>
              <w:top w:w="80" w:type="dxa"/>
              <w:right w:w="120" w:type="dxa"/>
              <w:bottom w:w="80" w:type="dxa"/>
            </w:tcMar>
            <w:tcW w:w="3120" w:type="dxa"/>
            <w:textDirection w:val="lrTb"/>
            <w:noWrap w:val="false"/>
          </w:tcPr>
          <w:p>
            <w:pPr>
              <w:pBdr/>
              <w:spacing/>
              <w:ind/>
              <w:rPr/>
            </w:pPr>
            <w:r>
              <w:rPr>
                <w:b w:val="0"/>
                <w:bCs w:val="0"/>
              </w:rPr>
              <w:t xml:space="preserve">Fault Tolerance (FT)</w:t>
            </w:r>
            <w:r/>
          </w:p>
        </w:tc>
        <w:tc>
          <w:tcPr>
            <w:tcBorders>
              <w:top w:val="single" w:color="cccccc" w:sz="4" w:space="0"/>
              <w:left w:val="single" w:color="cccccc" w:sz="4" w:space="0"/>
              <w:bottom w:val="single" w:color="cccccc" w:sz="4" w:space="0"/>
              <w:right w:val="single" w:color="cccccc" w:sz="4" w:space="0"/>
            </w:tcBorders>
            <w:tcMar>
              <w:left w:w="120" w:type="dxa"/>
              <w:top w:w="80" w:type="dxa"/>
              <w:right w:w="120" w:type="dxa"/>
              <w:bottom w:w="80" w:type="dxa"/>
            </w:tcMar>
            <w:tcW w:w="6240" w:type="dxa"/>
            <w:textDirection w:val="lrTb"/>
            <w:noWrap w:val="false"/>
          </w:tcPr>
          <w:p>
            <w:pPr>
              <w:pBdr/>
              <w:spacing/>
              <w:ind/>
              <w:rPr/>
            </w:pPr>
            <w:r>
              <w:rPr>
                <w:b w:val="0"/>
                <w:bCs w:val="0"/>
              </w:rPr>
              <w:t xml:space="preserve">Continuous mirroring of a VM on two hosts — zero downtime, but doubles the resource cost.</w:t>
            </w:r>
            <w:r/>
          </w:p>
        </w:tc>
      </w:tr>
      <w:tr>
        <w:trPr/>
        <w:tc>
          <w:tcPr>
            <w:tcBorders>
              <w:top w:val="single" w:color="cccccc" w:sz="4" w:space="0"/>
              <w:left w:val="single" w:color="cccccc" w:sz="4" w:space="0"/>
              <w:bottom w:val="single" w:color="cccccc" w:sz="4" w:space="0"/>
              <w:right w:val="single" w:color="cccccc" w:sz="4" w:space="0"/>
            </w:tcBorders>
            <w:tcMar>
              <w:left w:w="120" w:type="dxa"/>
              <w:top w:w="80" w:type="dxa"/>
              <w:right w:w="120" w:type="dxa"/>
              <w:bottom w:w="80" w:type="dxa"/>
            </w:tcMar>
            <w:tcW w:w="3120" w:type="dxa"/>
            <w:textDirection w:val="lrTb"/>
            <w:noWrap w:val="false"/>
          </w:tcPr>
          <w:p>
            <w:pPr>
              <w:pBdr/>
              <w:spacing/>
              <w:ind/>
              <w:rPr/>
            </w:pPr>
            <w:r>
              <w:rPr>
                <w:b w:val="0"/>
                <w:bCs w:val="0"/>
              </w:rPr>
              <w:t xml:space="preserve">Backup</w:t>
            </w:r>
            <w:r/>
          </w:p>
        </w:tc>
        <w:tc>
          <w:tcPr>
            <w:tcBorders>
              <w:top w:val="single" w:color="cccccc" w:sz="4" w:space="0"/>
              <w:left w:val="single" w:color="cccccc" w:sz="4" w:space="0"/>
              <w:bottom w:val="single" w:color="cccccc" w:sz="4" w:space="0"/>
              <w:right w:val="single" w:color="cccccc" w:sz="4" w:space="0"/>
            </w:tcBorders>
            <w:tcMar>
              <w:left w:w="120" w:type="dxa"/>
              <w:top w:w="80" w:type="dxa"/>
              <w:right w:w="120" w:type="dxa"/>
              <w:bottom w:w="80" w:type="dxa"/>
            </w:tcMar>
            <w:tcW w:w="6240" w:type="dxa"/>
            <w:textDirection w:val="lrTb"/>
            <w:noWrap w:val="false"/>
          </w:tcPr>
          <w:p>
            <w:pPr>
              <w:pBdr/>
              <w:spacing/>
              <w:ind/>
              <w:rPr/>
            </w:pPr>
            <w:r>
              <w:rPr>
                <w:b w:val="0"/>
                <w:bCs w:val="0"/>
              </w:rPr>
              <w:t xml:space="preserve">Point-in-time recovery from data loss, corruption, ransomware — not an HA replacement.</w:t>
            </w:r>
            <w:r/>
          </w:p>
        </w:tc>
      </w:tr>
    </w:tbl>
    <w:p>
      <w:pPr>
        <w:pBdr/>
        <w:spacing/>
        <w:ind/>
        <w:rPr/>
      </w:pPr>
      <w:r/>
      <w:r/>
    </w:p>
    <w:p>
      <w:pPr>
        <w:pStyle w:val="829"/>
        <w:pBdr/>
        <w:spacing/>
        <w:ind/>
        <w:rPr/>
      </w:pPr>
      <w:r>
        <w:t xml:space="preserve">Prerequisites</w:t>
      </w:r>
      <w:r/>
    </w:p>
    <w:p>
      <w:pPr>
        <w:pStyle w:val="819"/>
        <w:numPr>
          <w:ilvl w:val="0"/>
          <w:numId w:val="2"/>
        </w:numPr>
        <w:pBdr/>
        <w:spacing/>
        <w:ind/>
        <w:rPr/>
      </w:pPr>
      <w:r>
        <w:t xml:space="preserve">A vCenter Server managing the cluster.</w:t>
      </w:r>
      <w:r/>
    </w:p>
    <w:p>
      <w:pPr>
        <w:pStyle w:val="819"/>
        <w:numPr>
          <w:ilvl w:val="0"/>
          <w:numId w:val="2"/>
        </w:numPr>
        <w:pBdr/>
        <w:spacing/>
        <w:ind/>
        <w:rPr/>
      </w:pPr>
      <w:r>
        <w:t xml:space="preserve">A vSphere Cluster object containing at least two hosts (three or more recommended for sensible Admission Control).</w:t>
      </w:r>
      <w:r/>
    </w:p>
    <w:p>
      <w:pPr>
        <w:pStyle w:val="819"/>
        <w:numPr>
          <w:ilvl w:val="0"/>
          <w:numId w:val="2"/>
        </w:numPr>
        <w:pBdr/>
        <w:spacing/>
        <w:ind/>
        <w:rPr/>
      </w:pPr>
      <w:r>
        <w:t xml:space="preserve">Shared storage accessible from every cluster member — without it HA cannot restart VMs on another host.</w:t>
      </w:r>
      <w:r/>
    </w:p>
    <w:p>
      <w:pPr>
        <w:pStyle w:val="819"/>
        <w:numPr>
          <w:ilvl w:val="0"/>
          <w:numId w:val="2"/>
        </w:numPr>
        <w:pBdr/>
        <w:spacing/>
        <w:ind/>
        <w:rPr/>
      </w:pPr>
      <w:r>
        <w:t xml:space="preserve">Reliable network connectivity between hosts (management network) and to the shared storage (heartbeat datastores).</w:t>
      </w:r>
      <w:r/>
    </w:p>
    <w:p>
      <w:pPr>
        <w:pStyle w:val="819"/>
        <w:numPr>
          <w:ilvl w:val="0"/>
          <w:numId w:val="2"/>
        </w:numPr>
        <w:pBdr/>
        <w:spacing/>
        <w:ind/>
        <w:rPr/>
      </w:pPr>
      <w:r>
        <w:t xml:space="preserve">DNS resolution between hosts (both forward and reverse).</w:t>
      </w:r>
      <w:r/>
    </w:p>
    <w:p>
      <w:pPr>
        <w:pBdr/>
        <w:spacing/>
        <w:ind/>
        <w:rPr/>
      </w:pPr>
      <w:r/>
      <w:r/>
    </w:p>
    <w:p>
      <w:pPr>
        <w:pStyle w:val="828"/>
        <w:pBdr/>
        <w:spacing/>
        <w:ind/>
        <w:rPr/>
      </w:pPr>
      <w:r>
        <w:t xml:space="preserve">3.2  Cluster Creation</w:t>
      </w:r>
      <w:r/>
    </w:p>
    <w:p>
      <w:pPr>
        <w:pStyle w:val="819"/>
        <w:numPr>
          <w:ilvl w:val="0"/>
          <w:numId w:val="81"/>
        </w:numPr>
        <w:pBdr/>
        <w:spacing/>
        <w:ind/>
        <w:rPr/>
      </w:pPr>
      <w:r>
        <w:t xml:space="preserve">In the vSphere Client, navigate to </w:t>
      </w:r>
      <w:r>
        <w:rPr>
          <w:b/>
          <w:bCs/>
        </w:rPr>
        <w:t xml:space="preserve">Hosts and Clusters</w:t>
      </w:r>
      <w:r>
        <w:t xml:space="preserve">.</w:t>
      </w:r>
      <w:r/>
    </w:p>
    <w:p>
      <w:pPr>
        <w:pStyle w:val="819"/>
        <w:numPr>
          <w:ilvl w:val="0"/>
          <w:numId w:val="81"/>
        </w:numPr>
        <w:pBdr/>
        <w:spacing/>
        <w:ind/>
        <w:rPr/>
      </w:pPr>
      <w:r>
        <w:t xml:space="preserve">Right-click the Datacenter → New Cluster…</w:t>
      </w:r>
      <w:r/>
    </w:p>
    <w:p>
      <w:pPr>
        <w:pStyle w:val="819"/>
        <w:numPr>
          <w:ilvl w:val="0"/>
          <w:numId w:val="81"/>
        </w:numPr>
        <w:pBdr/>
        <w:spacing/>
        <w:ind/>
        <w:rPr/>
      </w:pPr>
      <w:r>
        <w:t xml:space="preserve">In the wizard:</w:t>
      </w:r>
      <w:r/>
    </w:p>
    <w:p>
      <w:pPr>
        <w:pStyle w:val="819"/>
        <w:numPr>
          <w:ilvl w:val="0"/>
          <w:numId w:val="2"/>
        </w:numPr>
        <w:pBdr/>
        <w:spacing/>
        <w:ind/>
        <w:rPr/>
      </w:pPr>
      <w:r>
        <w:rPr>
          <w:b/>
          <w:bCs/>
        </w:rPr>
        <w:t xml:space="preserve">Name: </w:t>
      </w:r>
      <w:r>
        <w:rPr>
          <w:rFonts w:ascii="Consolas" w:hAnsi="Consolas" w:eastAsia="Consolas" w:cs="Consolas"/>
          <w:sz w:val="22"/>
          <w:szCs w:val="22"/>
        </w:rPr>
        <w:t xml:space="preserve">LabCluster</w:t>
      </w:r>
      <w:r>
        <w:t xml:space="preserve">.</w:t>
      </w:r>
      <w:r/>
    </w:p>
    <w:p>
      <w:pPr>
        <w:pStyle w:val="819"/>
        <w:numPr>
          <w:ilvl w:val="0"/>
          <w:numId w:val="2"/>
        </w:numPr>
        <w:pBdr/>
        <w:spacing/>
        <w:ind/>
        <w:rPr/>
      </w:pPr>
      <w:r>
        <w:rPr>
          <w:b/>
          <w:bCs/>
        </w:rPr>
        <w:t xml:space="preserve">vSphere HA: </w:t>
      </w:r>
      <w:r>
        <w:t xml:space="preserve">Enabled.</w:t>
      </w:r>
      <w:r/>
    </w:p>
    <w:p>
      <w:pPr>
        <w:pStyle w:val="819"/>
        <w:numPr>
          <w:ilvl w:val="0"/>
          <w:numId w:val="2"/>
        </w:numPr>
        <w:pBdr/>
        <w:spacing/>
        <w:ind/>
        <w:rPr/>
      </w:pPr>
      <w:r>
        <w:rPr>
          <w:b/>
          <w:bCs/>
        </w:rPr>
        <w:t xml:space="preserve">vSphere DRS: </w:t>
      </w:r>
      <w:r>
        <w:t xml:space="preserve">(optional) — enabling DRS also automatically rebalances VMs by load.</w:t>
      </w:r>
      <w:r/>
    </w:p>
    <w:p>
      <w:pPr>
        <w:pStyle w:val="819"/>
        <w:numPr>
          <w:ilvl w:val="0"/>
          <w:numId w:val="2"/>
        </w:numPr>
        <w:pBdr/>
        <w:spacing/>
        <w:ind/>
        <w:rPr/>
      </w:pPr>
      <w:r>
        <w:rPr>
          <w:b/>
          <w:bCs/>
        </w:rPr>
        <w:t xml:space="preserve">Manage all hosts in the cluster with a single image: </w:t>
      </w:r>
      <w:r>
        <w:t xml:space="preserve">Disabled — baselines are used in this lab.</w:t>
      </w:r>
      <w:r/>
    </w:p>
    <w:p>
      <w:pPr>
        <w:pStyle w:val="819"/>
        <w:numPr>
          <w:ilvl w:val="0"/>
          <w:numId w:val="81"/>
        </w:numPr>
        <w:pBdr/>
        <w:spacing/>
        <w:ind/>
        <w:rPr/>
      </w:pPr>
      <w:r>
        <w:t xml:space="preserve">Click Next → Finish.</w:t>
      </w:r>
      <w:r/>
    </w:p>
    <w:p>
      <w:pPr>
        <w:pBdr/>
        <w:spacing w:after="120" w:before="120"/>
        <w:ind/>
        <w:jc w:val="center"/>
        <w:rPr/>
      </w:pPr>
      <w:r>
        <mc:AlternateContent>
          <mc:Choice Requires="wpg">
            <w:drawing>
              <wp:inline xmlns:wp="http://schemas.openxmlformats.org/drawingml/2006/wordprocessingDrawing" distT="0" distB="0" distL="0" distR="0">
                <wp:extent cx="2752725" cy="2809875"/>
                <wp:effectExtent l="0" t="0" r="0" b="0"/>
                <wp:docPr id="3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pic:cNvPicPr>
                        <pic:nvPr/>
                      </pic:nvPicPr>
                      <pic:blipFill rotWithShape="1">
                        <a:blip r:embed="rId42"/>
                        <a:stretch/>
                      </pic:blipFill>
                      <pic:spPr bwMode="auto">
                        <a:xfrm>
                          <a:off x="0" y="0"/>
                          <a:ext cx="2752725" cy="280987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1" o:spid="_x0000_s31" type="#_x0000_t75" style="width:216.75pt;height:221.25pt;mso-wrap-distance-left:0.00pt;mso-wrap-distance-top:0.00pt;mso-wrap-distance-right:0.00pt;mso-wrap-distance-bottom:0.00pt;z-index:1;" stroked="false">
                <v:imagedata r:id="rId42" o:title=""/>
                <o:lock v:ext="edit" rotation="t"/>
              </v:shape>
            </w:pict>
          </mc:Fallback>
        </mc:AlternateContent>
      </w:r>
      <w:r/>
    </w:p>
    <w:p>
      <w:pPr>
        <w:pStyle w:val="829"/>
        <w:pBdr/>
        <w:spacing/>
        <w:ind/>
        <w:rPr/>
      </w:pPr>
      <w:r>
        <w:t xml:space="preserve">Adding Hosts to the Cluster</w:t>
      </w:r>
      <w:r/>
    </w:p>
    <w:p>
      <w:pPr>
        <w:pBdr/>
        <w:spacing w:after="120"/>
        <w:ind/>
        <w:rPr/>
      </w:pPr>
      <w:r>
        <w:t xml:space="preserve">Drag the existing hosts from the Datacenter onto the newly created cluster. For each host, a dialog asks how to handle the existing VMs and resource pools — choose "Put all of this host's virtual machines in the cluster's root resource pool".</w:t>
      </w:r>
      <w:r/>
    </w:p>
    <w:p>
      <w:pPr>
        <w:pBdr/>
        <w:spacing/>
        <w:ind/>
        <w:rPr/>
      </w:pPr>
      <w:r/>
      <w:r/>
    </w:p>
    <w:p>
      <w:pPr>
        <w:pStyle w:val="828"/>
        <w:pBdr/>
        <w:spacing/>
        <w:ind/>
        <w:rPr/>
      </w:pPr>
      <w:r>
        <w:t xml:space="preserve">3.3  Fine-Tuning HA Settings</w:t>
      </w:r>
      <w:r/>
    </w:p>
    <w:p>
      <w:pPr>
        <w:pStyle w:val="819"/>
        <w:numPr>
          <w:ilvl w:val="0"/>
          <w:numId w:val="82"/>
        </w:numPr>
        <w:pBdr/>
        <w:spacing/>
        <w:ind/>
        <w:rPr/>
      </w:pPr>
      <w:r>
        <w:t xml:space="preserve">Select the cluster → </w:t>
      </w:r>
      <w:r>
        <w:rPr>
          <w:b/>
          <w:bCs/>
        </w:rPr>
        <w:t xml:space="preserve">Configure → Services → vSphere Availability → EDIT…</w:t>
      </w:r>
      <w:r>
        <w:t xml:space="preserve">.</w:t>
      </w:r>
      <w:r/>
    </w:p>
    <w:p>
      <w:pPr>
        <w:pStyle w:val="829"/>
        <w:pBdr/>
        <w:spacing/>
        <w:ind/>
        <w:rPr/>
      </w:pPr>
      <w:r>
        <w:t xml:space="preserve">Failures and Responses</w:t>
      </w:r>
      <w:r/>
    </w:p>
    <w:p>
      <w:pPr>
        <w:pStyle w:val="819"/>
        <w:numPr>
          <w:ilvl w:val="0"/>
          <w:numId w:val="2"/>
        </w:numPr>
        <w:pBdr/>
        <w:spacing/>
        <w:ind/>
        <w:rPr/>
      </w:pPr>
      <w:r>
        <w:rPr>
          <w:b/>
          <w:bCs/>
        </w:rPr>
        <w:t xml:space="preserve">Host failure response: </w:t>
      </w:r>
      <w:r>
        <w:t xml:space="preserve">Restart VMs.</w:t>
      </w:r>
      <w:r/>
    </w:p>
    <w:p>
      <w:pPr>
        <w:pStyle w:val="819"/>
        <w:numPr>
          <w:ilvl w:val="0"/>
          <w:numId w:val="2"/>
        </w:numPr>
        <w:pBdr/>
        <w:spacing/>
        <w:ind/>
        <w:rPr/>
      </w:pPr>
      <w:r>
        <w:rPr>
          <w:b/>
          <w:bCs/>
        </w:rPr>
        <w:t xml:space="preserve">Response for host isolation: </w:t>
      </w:r>
      <w:r>
        <w:t xml:space="preserve">Power off and restart VMs.</w:t>
      </w:r>
      <w:r/>
    </w:p>
    <w:p>
      <w:pPr>
        <w:pStyle w:val="819"/>
        <w:numPr>
          <w:ilvl w:val="0"/>
          <w:numId w:val="2"/>
        </w:numPr>
        <w:pBdr/>
        <w:spacing/>
        <w:ind/>
        <w:rPr/>
      </w:pPr>
      <w:r>
        <w:rPr>
          <w:b/>
          <w:bCs/>
        </w:rPr>
        <w:t xml:space="preserve">Datastore with PDL: </w:t>
      </w:r>
      <w:r>
        <w:t xml:space="preserve">Power off and restart VMs.</w:t>
      </w:r>
      <w:r/>
    </w:p>
    <w:p>
      <w:pPr>
        <w:pStyle w:val="819"/>
        <w:numPr>
          <w:ilvl w:val="0"/>
          <w:numId w:val="2"/>
        </w:numPr>
        <w:pBdr/>
        <w:spacing/>
        <w:ind/>
        <w:rPr/>
      </w:pPr>
      <w:r>
        <w:rPr>
          <w:b/>
          <w:bCs/>
        </w:rPr>
        <w:t xml:space="preserve">Datastore with APD: </w:t>
      </w:r>
      <w:r>
        <w:t xml:space="preserve">Power off and restart VMs (conservative restart policy).</w:t>
      </w:r>
      <w:r/>
    </w:p>
    <w:p>
      <w:pPr>
        <w:pStyle w:val="819"/>
        <w:numPr>
          <w:ilvl w:val="0"/>
          <w:numId w:val="2"/>
        </w:numPr>
        <w:pBdr/>
        <w:spacing/>
        <w:ind/>
        <w:rPr/>
      </w:pPr>
      <w:r>
        <w:rPr>
          <w:b/>
          <w:bCs/>
        </w:rPr>
        <w:t xml:space="preserve">VM Monitoring: </w:t>
      </w:r>
      <w:r>
        <w:t xml:space="preserve">VM Monitoring Only.</w:t>
      </w:r>
      <w:r/>
    </w:p>
    <w:p>
      <w:pPr>
        <w:pStyle w:val="829"/>
        <w:pBdr/>
        <w:spacing/>
        <w:ind/>
        <w:rPr/>
      </w:pPr>
      <w:r>
        <w:t xml:space="preserve">Admission Control</w:t>
      </w:r>
      <w:r/>
    </w:p>
    <w:p>
      <w:pPr>
        <w:pStyle w:val="819"/>
        <w:numPr>
          <w:ilvl w:val="0"/>
          <w:numId w:val="2"/>
        </w:numPr>
        <w:pBdr/>
        <w:spacing/>
        <w:ind/>
        <w:rPr/>
      </w:pPr>
      <w:r>
        <w:rPr>
          <w:b/>
          <w:bCs/>
        </w:rPr>
        <w:t xml:space="preserve">Host failures cluster tolerates: </w:t>
      </w:r>
      <w:r>
        <w:rPr>
          <w:rFonts w:ascii="Consolas" w:hAnsi="Consolas" w:eastAsia="Consolas" w:cs="Consolas"/>
          <w:sz w:val="22"/>
          <w:szCs w:val="22"/>
        </w:rPr>
        <w:t xml:space="preserve">1</w:t>
      </w:r>
      <w:r>
        <w:t xml:space="preserve">. The cluster reserves enough CPU and memory to absorb the failure of any single host.</w:t>
      </w:r>
      <w:r/>
    </w:p>
    <w:p>
      <w:pPr>
        <w:pStyle w:val="829"/>
        <w:pBdr/>
        <w:spacing/>
        <w:ind/>
        <w:rPr/>
      </w:pPr>
      <w:r>
        <w:t xml:space="preserve">Heartbeat Datastores</w:t>
      </w:r>
      <w:r/>
    </w:p>
    <w:p>
      <w:pPr>
        <w:pStyle w:val="819"/>
        <w:numPr>
          <w:ilvl w:val="0"/>
          <w:numId w:val="2"/>
        </w:numPr>
        <w:pBdr/>
        <w:spacing/>
        <w:ind/>
        <w:rPr/>
      </w:pPr>
      <w:r>
        <w:rPr>
          <w:b/>
          <w:bCs/>
        </w:rPr>
        <w:t xml:space="preserve">Selection policy: </w:t>
      </w:r>
      <w:r>
        <w:t xml:space="preserve">Use datastores from the specified list and complement automatically if needed.</w:t>
      </w:r>
      <w:r/>
    </w:p>
    <w:p>
      <w:pPr>
        <w:pStyle w:val="829"/>
        <w:pBdr/>
        <w:spacing/>
        <w:ind/>
        <w:rPr/>
      </w:pPr>
      <w:r>
        <w:t xml:space="preserve">Apply</w:t>
      </w:r>
      <w:r/>
    </w:p>
    <w:p>
      <w:pPr>
        <w:pBdr/>
        <w:spacing w:after="120"/>
        <w:ind/>
        <w:rPr/>
      </w:pPr>
      <w:r>
        <w:t xml:space="preserve">Click OK. vCenter propagates the HA configuration to all hosts (visible in Recent Tasks). The process typically completes within 1–2 minutes.</w:t>
      </w:r>
      <w:r/>
    </w:p>
    <w:p>
      <w:pPr>
        <w:pBdr/>
        <w:spacing/>
        <w:ind/>
        <w:rPr/>
      </w:pPr>
      <w:r/>
      <w:r/>
    </w:p>
    <w:p>
      <w:pPr>
        <w:pStyle w:val="828"/>
        <w:pBdr/>
        <w:spacing/>
        <w:ind/>
        <w:rPr/>
      </w:pPr>
      <w:r>
        <w:t xml:space="preserve">3.4  Adding a Second Heartbeat Datastore</w:t>
      </w:r>
      <w:r/>
    </w:p>
    <w:p>
      <w:pPr>
        <w:pStyle w:val="829"/>
        <w:pBdr/>
        <w:spacing/>
        <w:ind/>
        <w:rPr/>
      </w:pPr>
      <w:r>
        <w:t xml:space="preserve">Background</w:t>
      </w:r>
      <w:r/>
    </w:p>
    <w:p>
      <w:pPr>
        <w:pBdr/>
        <w:spacing w:after="120"/>
        <w:ind/>
        <w:rPr/>
      </w:pPr>
      <w:r>
        <w:t xml:space="preserve">After enabling vSphere HA on the cluster, the following warning appeared on each host:</w:t>
      </w:r>
      <w:r/>
    </w:p>
    <w:p>
      <w:pPr>
        <w:pBdr/>
        <w:spacing w:after="120"/>
        <w:ind/>
        <w:rPr/>
      </w:pPr>
      <w:r>
        <w:rPr>
          <w:i/>
          <w:iCs/>
        </w:rPr>
        <w:t xml:space="preserve">"The number of vSphere HA heartbeat datastores for this host is 1, which is less than required: 2"</w:t>
      </w:r>
      <w:r/>
    </w:p>
    <w:p>
      <w:pPr>
        <w:pBdr/>
        <w:spacing w:after="120"/>
        <w:ind/>
        <w:rPr/>
      </w:pPr>
      <w:r>
        <w:t xml:space="preserve">vSphere HA uses datastores as a secondary communication channel between hosts, in addition to the management network. These so-called heartbeat datastores allow the HA master to distinguish between two very different failure scenarios:</w:t>
      </w:r>
      <w:r/>
    </w:p>
    <w:p>
      <w:pPr>
        <w:pStyle w:val="819"/>
        <w:numPr>
          <w:ilvl w:val="0"/>
          <w:numId w:val="2"/>
        </w:numPr>
        <w:pBdr/>
        <w:spacing/>
        <w:ind/>
        <w:rPr/>
      </w:pPr>
      <w:r>
        <w:rPr>
          <w:b/>
          <w:bCs/>
        </w:rPr>
        <w:t xml:space="preserve">A host has actually failed </w:t>
      </w:r>
      <w:r>
        <w:t xml:space="preserve">(no network heartbeats, no datastore heartbeats) — HA restarts the VMs on other hosts.</w:t>
      </w:r>
      <w:r/>
    </w:p>
    <w:p>
      <w:pPr>
        <w:pStyle w:val="819"/>
        <w:numPr>
          <w:ilvl w:val="0"/>
          <w:numId w:val="2"/>
        </w:numPr>
        <w:pBdr/>
        <w:spacing/>
        <w:ind/>
        <w:rPr/>
      </w:pPr>
      <w:r>
        <w:rPr>
          <w:b/>
          <w:bCs/>
        </w:rPr>
        <w:t xml:space="preserve">A host is only network-isolated </w:t>
      </w:r>
      <w:r>
        <w:t xml:space="preserve">but still running (no network heartbeats, but datastore heartbeats still present) — HA reacts more cautiously to avoid a split-brain situation where the same VM would run on two hosts.</w:t>
      </w:r>
      <w:r/>
    </w:p>
    <w:p>
      <w:pPr>
        <w:pBdr/>
        <w:spacing w:after="120"/>
        <w:ind/>
        <w:rPr/>
      </w:pPr>
      <w:r>
        <w:t xml:space="preserve">To make this fallback reliable, vSphere HA requires at least two heartbeat datastores that are accessible by all hosts in the cluster. If only one is available and that datastore becomes unreachable, HA loses its ability to correctly assess host states.</w:t>
      </w:r>
      <w:r/>
    </w:p>
    <w:p>
      <w:pPr>
        <w:pBdr/>
        <w:spacing w:after="120"/>
        <w:ind/>
        <w:rPr/>
      </w:pPr>
      <w:r>
        <w:t xml:space="preserve">Initially the cluster had only one shared datastore (iSCSI-Datastore-01, 78 GB), so a second one had to be added.</w:t>
      </w:r>
      <w:r/>
    </w:p>
    <w:p>
      <w:pPr>
        <w:pStyle w:val="829"/>
        <w:pBdr/>
        <w:spacing/>
        <w:ind/>
        <w:rPr/>
      </w:pPr>
      <w:r>
        <w:t xml:space="preserve">Procedure</w:t>
      </w:r>
      <w:r/>
    </w:p>
    <w:p>
      <w:pPr>
        <w:pStyle w:val="830"/>
        <w:pBdr/>
        <w:spacing/>
        <w:ind/>
        <w:rPr/>
      </w:pPr>
      <w:r>
        <w:t xml:space="preserve">Step 1 — Create a New Zvol on TrueNAS</w:t>
      </w:r>
      <w:r/>
    </w:p>
    <w:p>
      <w:pPr>
        <w:pStyle w:val="819"/>
        <w:numPr>
          <w:ilvl w:val="0"/>
          <w:numId w:val="2"/>
        </w:numPr>
        <w:pBdr/>
        <w:spacing/>
        <w:ind/>
        <w:rPr/>
      </w:pPr>
      <w:r>
        <w:rPr>
          <w:b/>
          <w:bCs/>
        </w:rPr>
        <w:t xml:space="preserve">Datasets → areca_raid5 → Add Zvol</w:t>
      </w:r>
      <w:r/>
    </w:p>
    <w:p>
      <w:pPr>
        <w:pStyle w:val="819"/>
        <w:numPr>
          <w:ilvl w:val="0"/>
          <w:numId w:val="2"/>
        </w:numPr>
        <w:pBdr/>
        <w:spacing/>
        <w:ind/>
        <w:rPr/>
      </w:pPr>
      <w:r>
        <w:rPr>
          <w:b/>
          <w:bCs/>
        </w:rPr>
        <w:t xml:space="preserve">Name: </w:t>
      </w:r>
      <w:r>
        <w:rPr>
          <w:rFonts w:ascii="Consolas" w:hAnsi="Consolas" w:eastAsia="Consolas" w:cs="Consolas"/>
          <w:sz w:val="22"/>
          <w:szCs w:val="22"/>
        </w:rPr>
        <w:t xml:space="preserve">max-heartbeat</w:t>
      </w:r>
      <w:r/>
    </w:p>
    <w:p>
      <w:pPr>
        <w:pStyle w:val="819"/>
        <w:numPr>
          <w:ilvl w:val="0"/>
          <w:numId w:val="2"/>
        </w:numPr>
        <w:pBdr/>
        <w:spacing/>
        <w:ind/>
        <w:rPr/>
      </w:pPr>
      <w:r>
        <w:rPr>
          <w:b/>
          <w:bCs/>
        </w:rPr>
        <w:t xml:space="preserve">Size: </w:t>
      </w:r>
      <w:r>
        <w:t xml:space="preserve">5 GiB (sufficient for heartbeat purposes only).</w:t>
      </w:r>
      <w:r/>
    </w:p>
    <w:p>
      <w:pPr>
        <w:pStyle w:val="819"/>
        <w:numPr>
          <w:ilvl w:val="0"/>
          <w:numId w:val="2"/>
        </w:numPr>
        <w:pBdr/>
        <w:spacing/>
        <w:ind/>
        <w:rPr/>
      </w:pPr>
      <w:r>
        <w:rPr>
          <w:b/>
          <w:bCs/>
        </w:rPr>
        <w:t xml:space="preserve">Sparse: </w:t>
      </w:r>
      <w:r>
        <w:t xml:space="preserve">Enabled (thin-provisioned).</w:t>
      </w:r>
      <w:r/>
    </w:p>
    <w:p>
      <w:pPr>
        <w:pStyle w:val="830"/>
        <w:pBdr/>
        <w:spacing/>
        <w:ind/>
        <w:rPr/>
      </w:pPr>
      <w:r>
        <w:t xml:space="preserve">Step 2 — Create a New Extent</w:t>
      </w:r>
      <w:r/>
    </w:p>
    <w:p>
      <w:pPr>
        <w:pStyle w:val="819"/>
        <w:numPr>
          <w:ilvl w:val="0"/>
          <w:numId w:val="2"/>
        </w:numPr>
        <w:pBdr/>
        <w:spacing/>
        <w:ind/>
        <w:rPr/>
      </w:pPr>
      <w:r>
        <w:rPr>
          <w:b/>
          <w:bCs/>
        </w:rPr>
        <w:t xml:space="preserve">Shares → Block (iSCSI) Shares Targets → Extents → Add</w:t>
      </w:r>
      <w:r/>
    </w:p>
    <w:p>
      <w:pPr>
        <w:pStyle w:val="819"/>
        <w:numPr>
          <w:ilvl w:val="0"/>
          <w:numId w:val="2"/>
        </w:numPr>
        <w:pBdr/>
        <w:spacing/>
        <w:ind/>
        <w:rPr/>
      </w:pPr>
      <w:r>
        <w:rPr>
          <w:b/>
          <w:bCs/>
        </w:rPr>
        <w:t xml:space="preserve">Name: </w:t>
      </w:r>
      <w:r>
        <w:rPr>
          <w:rFonts w:ascii="Consolas" w:hAnsi="Consolas" w:eastAsia="Consolas" w:cs="Consolas"/>
          <w:sz w:val="22"/>
          <w:szCs w:val="22"/>
        </w:rPr>
        <w:t xml:space="preserve">max-heartbeat-extent</w:t>
      </w:r>
      <w:r/>
    </w:p>
    <w:p>
      <w:pPr>
        <w:pStyle w:val="819"/>
        <w:numPr>
          <w:ilvl w:val="0"/>
          <w:numId w:val="2"/>
        </w:numPr>
        <w:pBdr/>
        <w:spacing/>
        <w:ind/>
        <w:rPr/>
      </w:pPr>
      <w:r>
        <w:rPr>
          <w:b/>
          <w:bCs/>
        </w:rPr>
        <w:t xml:space="preserve">Extent Type: </w:t>
      </w:r>
      <w:r>
        <w:t xml:space="preserve">Device</w:t>
      </w:r>
      <w:r/>
    </w:p>
    <w:p>
      <w:pPr>
        <w:pStyle w:val="819"/>
        <w:numPr>
          <w:ilvl w:val="0"/>
          <w:numId w:val="2"/>
        </w:numPr>
        <w:pBdr/>
        <w:spacing/>
        <w:ind/>
        <w:rPr/>
      </w:pPr>
      <w:r>
        <w:rPr>
          <w:b/>
          <w:bCs/>
        </w:rPr>
        <w:t xml:space="preserve">Device: </w:t>
      </w:r>
      <w:r>
        <w:rPr>
          <w:rFonts w:ascii="Consolas" w:hAnsi="Consolas" w:eastAsia="Consolas" w:cs="Consolas"/>
          <w:sz w:val="22"/>
          <w:szCs w:val="22"/>
        </w:rPr>
        <w:t xml:space="preserve">zvol/areca_raid5/max-heartbeat</w:t>
      </w:r>
      <w:r/>
    </w:p>
    <w:p>
      <w:pPr>
        <w:pStyle w:val="819"/>
        <w:numPr>
          <w:ilvl w:val="0"/>
          <w:numId w:val="2"/>
        </w:numPr>
        <w:pBdr/>
        <w:spacing/>
        <w:ind/>
        <w:rPr/>
      </w:pPr>
      <w:r>
        <w:rPr>
          <w:b/>
          <w:bCs/>
        </w:rPr>
        <w:t xml:space="preserve">Sharing Platform: </w:t>
      </w:r>
      <w:r>
        <w:rPr>
          <w:i/>
          <w:iCs/>
        </w:rPr>
        <w:t xml:space="preserve">VMware: Extent block size 512b, TPC enabled, no Xen compat mode, SSD speed.</w:t>
      </w:r>
      <w:r/>
    </w:p>
    <w:p>
      <w:pPr>
        <w:pStyle w:val="830"/>
        <w:pBdr/>
        <w:spacing/>
        <w:ind/>
        <w:rPr/>
      </w:pPr>
      <w:r>
        <w:t xml:space="preserve">Step 3 — Associate the Extent with the iSCSI Target</w:t>
      </w:r>
      <w:r/>
    </w:p>
    <w:p>
      <w:pPr>
        <w:pBdr/>
        <w:spacing w:after="120"/>
        <w:ind/>
        <w:rPr/>
      </w:pPr>
      <w:r>
        <w:t xml:space="preserve">In the target vmware configuration, add a new LUN association:</w:t>
      </w:r>
      <w:r/>
    </w:p>
    <w:p>
      <w:pPr>
        <w:pStyle w:val="819"/>
        <w:numPr>
          <w:ilvl w:val="0"/>
          <w:numId w:val="2"/>
        </w:numPr>
        <w:pBdr/>
        <w:spacing/>
        <w:ind/>
        <w:rPr/>
      </w:pPr>
      <w:r>
        <w:rPr>
          <w:b/>
          <w:bCs/>
        </w:rPr>
        <w:t xml:space="preserve">LUN ID: </w:t>
      </w:r>
      <w:r>
        <w:rPr>
          <w:rFonts w:ascii="Consolas" w:hAnsi="Consolas" w:eastAsia="Consolas" w:cs="Consolas"/>
          <w:sz w:val="22"/>
          <w:szCs w:val="22"/>
        </w:rPr>
        <w:t xml:space="preserve">2</w:t>
      </w:r>
      <w:r/>
    </w:p>
    <w:p>
      <w:pPr>
        <w:pStyle w:val="819"/>
        <w:numPr>
          <w:ilvl w:val="0"/>
          <w:numId w:val="2"/>
        </w:numPr>
        <w:pBdr/>
        <w:spacing/>
        <w:ind/>
        <w:rPr/>
      </w:pPr>
      <w:r>
        <w:rPr>
          <w:b/>
          <w:bCs/>
        </w:rPr>
        <w:t xml:space="preserve">Extent: </w:t>
      </w:r>
      <w:r>
        <w:rPr>
          <w:rFonts w:ascii="Consolas" w:hAnsi="Consolas" w:eastAsia="Consolas" w:cs="Consolas"/>
          <w:sz w:val="22"/>
          <w:szCs w:val="22"/>
        </w:rPr>
        <w:t xml:space="preserve">max-heartbeat-extent</w:t>
      </w:r>
      <w:r/>
    </w:p>
    <w:p>
      <w:pPr>
        <w:pStyle w:val="830"/>
        <w:pBdr/>
        <w:spacing/>
        <w:ind/>
        <w:rPr/>
      </w:pPr>
      <w:r>
        <w:t xml:space="preserve">Step 4 — Rescan iSCSI Adapter on All Hosts</w:t>
      </w:r>
      <w:r/>
    </w:p>
    <w:p>
      <w:pPr>
        <w:pBdr/>
        <w:spacing w:after="120"/>
        <w:ind/>
        <w:rPr/>
      </w:pPr>
      <w:r>
        <w:t xml:space="preserve">On each of the three ESXi hosts:</w:t>
      </w:r>
      <w:r/>
    </w:p>
    <w:p>
      <w:pPr>
        <w:pBdr/>
        <w:spacing w:after="120"/>
        <w:ind/>
        <w:rPr/>
      </w:pPr>
      <w:r>
        <w:rPr>
          <w:b/>
          <w:bCs/>
        </w:rPr>
        <w:t xml:space="preserve">Configure → Storage Adapters → iSCSI Adapter → RESCAN STORAGE</w:t>
      </w:r>
      <w:r/>
    </w:p>
    <w:p>
      <w:pPr>
        <w:pBdr/>
        <w:spacing w:after="120"/>
        <w:ind/>
        <w:rPr/>
      </w:pPr>
      <w:r>
        <w:t xml:space="preserve">The new 5 GiB LUN appears under Storage Devices with status "Not Consumed".</w:t>
      </w:r>
      <w:r/>
    </w:p>
    <w:p>
      <w:pPr>
        <w:pStyle w:val="830"/>
        <w:pBdr/>
        <w:spacing/>
        <w:ind/>
        <w:rPr/>
      </w:pPr>
      <w:r>
        <w:t xml:space="preserve">Step 5 — Create the VMFS Datastore</w:t>
      </w:r>
      <w:r/>
    </w:p>
    <w:p>
      <w:pPr>
        <w:pStyle w:val="819"/>
        <w:numPr>
          <w:ilvl w:val="0"/>
          <w:numId w:val="2"/>
        </w:numPr>
        <w:pBdr/>
        <w:spacing/>
        <w:ind/>
        <w:rPr/>
      </w:pPr>
      <w:r>
        <w:t xml:space="preserve">Right-click any host → </w:t>
      </w:r>
      <w:r>
        <w:rPr>
          <w:b/>
          <w:bCs/>
        </w:rPr>
        <w:t xml:space="preserve">Storage → New Datastore</w:t>
      </w:r>
      <w:r/>
    </w:p>
    <w:p>
      <w:pPr>
        <w:pStyle w:val="819"/>
        <w:numPr>
          <w:ilvl w:val="0"/>
          <w:numId w:val="2"/>
        </w:numPr>
        <w:pBdr/>
        <w:spacing/>
        <w:ind/>
        <w:rPr/>
      </w:pPr>
      <w:r>
        <w:rPr>
          <w:b/>
          <w:bCs/>
        </w:rPr>
        <w:t xml:space="preserve">Type: </w:t>
      </w:r>
      <w:r>
        <w:t xml:space="preserve">VMFS</w:t>
      </w:r>
      <w:r/>
    </w:p>
    <w:p>
      <w:pPr>
        <w:pStyle w:val="819"/>
        <w:numPr>
          <w:ilvl w:val="0"/>
          <w:numId w:val="2"/>
        </w:numPr>
        <w:pBdr/>
        <w:spacing/>
        <w:ind/>
        <w:rPr/>
      </w:pPr>
      <w:r>
        <w:rPr>
          <w:b/>
          <w:bCs/>
        </w:rPr>
        <w:t xml:space="preserve">Name: </w:t>
      </w:r>
      <w:r>
        <w:rPr>
          <w:rFonts w:ascii="Consolas" w:hAnsi="Consolas" w:eastAsia="Consolas" w:cs="Consolas"/>
          <w:sz w:val="22"/>
          <w:szCs w:val="22"/>
        </w:rPr>
        <w:t xml:space="preserve">iSCSI-Heartbeat</w:t>
      </w:r>
      <w:r/>
    </w:p>
    <w:p>
      <w:pPr>
        <w:pStyle w:val="819"/>
        <w:numPr>
          <w:ilvl w:val="0"/>
          <w:numId w:val="2"/>
        </w:numPr>
        <w:pBdr/>
        <w:spacing/>
        <w:ind/>
        <w:rPr/>
      </w:pPr>
      <w:r>
        <w:rPr>
          <w:b/>
          <w:bCs/>
        </w:rPr>
        <w:t xml:space="preserve">Disk: </w:t>
      </w:r>
      <w:r>
        <w:t xml:space="preserve">the new 5 GiB TrueNAS LUN</w:t>
      </w:r>
      <w:r/>
    </w:p>
    <w:p>
      <w:pPr>
        <w:pStyle w:val="819"/>
        <w:numPr>
          <w:ilvl w:val="0"/>
          <w:numId w:val="2"/>
        </w:numPr>
        <w:pBdr/>
        <w:spacing/>
        <w:ind/>
        <w:rPr/>
      </w:pPr>
      <w:r>
        <w:rPr>
          <w:b/>
          <w:bCs/>
        </w:rPr>
        <w:t xml:space="preserve">Version: </w:t>
      </w:r>
      <w:r>
        <w:t xml:space="preserve">VMFS 6</w:t>
      </w:r>
      <w:r/>
    </w:p>
    <w:p>
      <w:pPr>
        <w:pBdr/>
        <w:spacing w:after="120"/>
        <w:ind/>
        <w:rPr/>
      </w:pPr>
      <w:r>
        <w:t xml:space="preserve">The new datastore is automatically mounted on all three hosts because the underlying target is shared.</w:t>
      </w:r>
      <w:r/>
    </w:p>
    <w:p>
      <w:pPr>
        <w:pStyle w:val="830"/>
        <w:pBdr/>
        <w:spacing/>
        <w:ind/>
        <w:rPr/>
      </w:pPr>
      <w:r>
        <w:t xml:space="preserve">Step 6 — Reconfigure HA to Use Both Datastores</w:t>
      </w:r>
      <w:r/>
    </w:p>
    <w:p>
      <w:pPr>
        <w:pStyle w:val="819"/>
        <w:numPr>
          <w:ilvl w:val="0"/>
          <w:numId w:val="2"/>
        </w:numPr>
        <w:pBdr/>
        <w:spacing/>
        <w:ind/>
        <w:rPr/>
      </w:pPr>
      <w:r>
        <w:rPr>
          <w:b/>
          <w:bCs/>
        </w:rPr>
        <w:t xml:space="preserve">Cluster → Configure → vSphere Availability → EDIT → Heartbeat Datastores</w:t>
      </w:r>
      <w:r/>
    </w:p>
    <w:p>
      <w:pPr>
        <w:pStyle w:val="819"/>
        <w:numPr>
          <w:ilvl w:val="0"/>
          <w:numId w:val="2"/>
        </w:numPr>
        <w:pBdr/>
        <w:spacing/>
        <w:ind/>
        <w:rPr/>
      </w:pPr>
      <w:r>
        <w:rPr>
          <w:b/>
          <w:bCs/>
        </w:rPr>
        <w:t xml:space="preserve">Policy: </w:t>
      </w:r>
      <w:r>
        <w:rPr>
          <w:i/>
          <w:iCs/>
        </w:rPr>
        <w:t xml:space="preserve">Use datastores from the specified list and complement automatically if needed</w:t>
      </w:r>
      <w:r/>
    </w:p>
    <w:p>
      <w:pPr>
        <w:pStyle w:val="819"/>
        <w:numPr>
          <w:ilvl w:val="0"/>
          <w:numId w:val="2"/>
        </w:numPr>
        <w:pBdr/>
        <w:spacing/>
        <w:ind/>
        <w:rPr/>
      </w:pPr>
      <w:r>
        <w:t xml:space="preserve">Select both shared datastores: </w:t>
      </w:r>
      <w:r>
        <w:rPr>
          <w:rFonts w:ascii="Consolas" w:hAnsi="Consolas" w:eastAsia="Consolas" w:cs="Consolas"/>
          <w:sz w:val="22"/>
          <w:szCs w:val="22"/>
        </w:rPr>
        <w:t xml:space="preserve">iSCSI-Datastore-01</w:t>
      </w:r>
      <w:r>
        <w:t xml:space="preserve"> and </w:t>
      </w:r>
      <w:r>
        <w:rPr>
          <w:rFonts w:ascii="Consolas" w:hAnsi="Consolas" w:eastAsia="Consolas" w:cs="Consolas"/>
          <w:sz w:val="22"/>
          <w:szCs w:val="22"/>
        </w:rPr>
        <w:t xml:space="preserve">iSCSI-Heartbeat</w:t>
      </w:r>
      <w:r/>
    </w:p>
    <w:p>
      <w:pPr>
        <w:pStyle w:val="819"/>
        <w:numPr>
          <w:ilvl w:val="0"/>
          <w:numId w:val="2"/>
        </w:numPr>
        <w:pBdr/>
        <w:spacing/>
        <w:ind/>
        <w:rPr/>
      </w:pPr>
      <w:r>
        <w:t xml:space="preserve">Apply.</w:t>
      </w:r>
      <w:r/>
    </w:p>
    <w:p>
      <w:pPr>
        <w:pStyle w:val="829"/>
        <w:pBdr/>
        <w:spacing/>
        <w:ind/>
        <w:rPr/>
      </w:pPr>
      <w:r>
        <w:t xml:space="preserve">Result</w:t>
      </w:r>
      <w:r/>
    </w:p>
    <w:p>
      <w:pPr>
        <w:pBdr/>
        <w:spacing w:after="120"/>
        <w:ind/>
        <w:rPr/>
      </w:pPr>
      <w:r>
        <w:t xml:space="preserve">After HA was reconfigured, Monitor → vSphere HA → Heartbeat </w:t>
      </w:r>
      <w:r>
        <w:t xml:space="preserve">showed two heartbeat datastores per host, and the warning disappeared. The cluster is now resilient against the failure of a single heartbeat datastore: if one becomes unreachable, the second one continues to provide secondary failure-detection signalling.</w:t>
      </w:r>
      <w:r/>
    </w:p>
    <w:p>
      <w:pPr>
        <w:pStyle w:val="829"/>
        <w:pBdr/>
        <w:spacing/>
        <w:ind/>
        <w:rPr/>
      </w:pPr>
      <w:r>
        <w:t xml:space="preserve">Why This Matters</w:t>
      </w:r>
      <w:r/>
    </w:p>
    <w:p>
      <w:pPr>
        <w:pBdr/>
        <w:spacing w:after="120"/>
        <w:ind/>
        <w:rPr/>
      </w:pPr>
      <w:r>
        <w:t xml:space="preserve">A single heartbeat datastore is a single point of failure for HA's failure-detection logic. Without redundancy, HA can no longer reliably distinguish between an actual host failure and a transient network or storage</w:t>
      </w:r>
      <w:r>
        <w:t xml:space="preserve"> issue, which can lead to incorrect failover decisions, unnecessary VM restarts, or — worse — failed restarts when they are actually needed. Maintaining at least two heartbeat datastores is therefore a fundamental requirement for any production HA cluster.</w:t>
      </w:r>
      <w:r/>
    </w:p>
    <w:p>
      <w:pPr>
        <w:pBdr/>
        <w:spacing/>
        <w:ind/>
        <w:rPr/>
      </w:pPr>
      <w:r/>
      <w:r/>
    </w:p>
    <w:p>
      <w:pPr>
        <w:pStyle w:val="828"/>
        <w:pBdr/>
        <w:spacing/>
        <w:ind/>
        <w:rPr/>
      </w:pPr>
      <w:r>
        <w:t xml:space="preserve">3.5  Do's and Don'ts</w:t>
      </w:r>
      <w:r/>
    </w:p>
    <w:p>
      <w:pPr>
        <w:pStyle w:val="829"/>
        <w:pBdr/>
        <w:spacing/>
        <w:ind/>
        <w:rPr/>
      </w:pPr>
      <w:r>
        <w:t xml:space="preserve">Do</w:t>
      </w:r>
      <w:r/>
    </w:p>
    <w:p>
      <w:pPr>
        <w:pStyle w:val="819"/>
        <w:numPr>
          <w:ilvl w:val="0"/>
          <w:numId w:val="2"/>
        </w:numPr>
        <w:pBdr/>
        <w:spacing/>
        <w:ind/>
        <w:rPr/>
      </w:pPr>
      <w:r>
        <w:t xml:space="preserve">Provide at least two heartbeat datastores accessible from every host in the cluster.</w:t>
      </w:r>
      <w:r/>
    </w:p>
    <w:p>
      <w:pPr>
        <w:pStyle w:val="819"/>
        <w:numPr>
          <w:ilvl w:val="0"/>
          <w:numId w:val="2"/>
        </w:numPr>
        <w:pBdr/>
        <w:spacing/>
        <w:ind/>
        <w:rPr/>
      </w:pPr>
      <w:r>
        <w:t xml:space="preserve">Use shared storage for all VMs that must be HA-protected — VMs on local-only datastores cannot be restarted elsewhere.</w:t>
      </w:r>
      <w:r/>
    </w:p>
    <w:p>
      <w:pPr>
        <w:pStyle w:val="819"/>
        <w:numPr>
          <w:ilvl w:val="0"/>
          <w:numId w:val="2"/>
        </w:numPr>
        <w:pBdr/>
        <w:spacing/>
        <w:ind/>
        <w:rPr/>
      </w:pPr>
      <w:r>
        <w:t xml:space="preserve">Run with a minimum of three hosts to allow sensible Admission Control configuration.</w:t>
      </w:r>
      <w:r/>
    </w:p>
    <w:p>
      <w:pPr>
        <w:pStyle w:val="819"/>
        <w:numPr>
          <w:ilvl w:val="0"/>
          <w:numId w:val="2"/>
        </w:numPr>
        <w:pBdr/>
        <w:spacing/>
        <w:ind/>
        <w:rPr/>
      </w:pPr>
      <w:r>
        <w:t xml:space="preserve">Configure redundant management networks (or dedicated VMkernel adapters with separate physical NICs).</w:t>
      </w:r>
      <w:r/>
    </w:p>
    <w:p>
      <w:pPr>
        <w:pStyle w:val="819"/>
        <w:numPr>
          <w:ilvl w:val="0"/>
          <w:numId w:val="2"/>
        </w:numPr>
        <w:pBdr/>
        <w:spacing/>
        <w:ind/>
        <w:rPr/>
      </w:pPr>
      <w:r>
        <w:t xml:space="preserve">Maintain proper DNS — forward and reverse — between cluster members to avoid HA agent communication issues.</w:t>
      </w:r>
      <w:r/>
    </w:p>
    <w:p>
      <w:pPr>
        <w:pStyle w:val="819"/>
        <w:numPr>
          <w:ilvl w:val="0"/>
          <w:numId w:val="2"/>
        </w:numPr>
        <w:pBdr/>
        <w:spacing/>
        <w:ind/>
        <w:rPr/>
      </w:pPr>
      <w:r>
        <w:t xml:space="preserve">Keep Admission Control enabled. It guarantees there is enough spare capacity to restart VMs after a host failure.</w:t>
      </w:r>
      <w:r/>
    </w:p>
    <w:p>
      <w:pPr>
        <w:pStyle w:val="819"/>
        <w:numPr>
          <w:ilvl w:val="0"/>
          <w:numId w:val="2"/>
        </w:numPr>
        <w:pBdr/>
        <w:spacing/>
        <w:ind/>
        <w:rPr/>
      </w:pPr>
      <w:r>
        <w:t xml:space="preserve">Test the failover regularly — do not discover during a real outage that HA is misconfigured.</w:t>
      </w:r>
      <w:r/>
    </w:p>
    <w:p>
      <w:pPr>
        <w:pStyle w:val="819"/>
        <w:numPr>
          <w:ilvl w:val="0"/>
          <w:numId w:val="2"/>
        </w:numPr>
        <w:pBdr/>
        <w:spacing/>
        <w:ind/>
        <w:rPr/>
      </w:pPr>
      <w:r>
        <w:t xml:space="preserve">Enable an appropriate EVC mode at the cluster level when hosts have different CPU generations; otherwise vMotion (and HA-driven restart on heterogeneous CPUs) can fail.</w:t>
      </w:r>
      <w:r/>
    </w:p>
    <w:p>
      <w:pPr>
        <w:pStyle w:val="829"/>
        <w:pBdr/>
        <w:spacing/>
        <w:ind/>
        <w:rPr/>
      </w:pPr>
      <w:r>
        <w:t xml:space="preserve">Don't</w:t>
      </w:r>
      <w:r/>
    </w:p>
    <w:p>
      <w:pPr>
        <w:pStyle w:val="819"/>
        <w:numPr>
          <w:ilvl w:val="0"/>
          <w:numId w:val="2"/>
        </w:numPr>
        <w:pBdr/>
        <w:spacing/>
        <w:ind/>
        <w:rPr/>
      </w:pPr>
      <w:r>
        <w:t xml:space="preserve">Do not treat HA as a backup solution — HA protects against hardware failure, not against data loss, corruption, ransomware, or accidental deletion.</w:t>
      </w:r>
      <w:r/>
    </w:p>
    <w:p>
      <w:pPr>
        <w:pStyle w:val="819"/>
        <w:numPr>
          <w:ilvl w:val="0"/>
          <w:numId w:val="2"/>
        </w:numPr>
        <w:pBdr/>
        <w:spacing/>
        <w:ind/>
        <w:rPr/>
      </w:pPr>
      <w:r>
        <w:t xml:space="preserve">Do not place HA-protected VMs on local (non-shared) datastores.</w:t>
      </w:r>
      <w:r/>
    </w:p>
    <w:p>
      <w:pPr>
        <w:pStyle w:val="819"/>
        <w:numPr>
          <w:ilvl w:val="0"/>
          <w:numId w:val="2"/>
        </w:numPr>
        <w:pBdr/>
        <w:spacing/>
        <w:ind/>
        <w:rPr/>
      </w:pPr>
      <w:r>
        <w:t xml:space="preserve">Do not place all hosts in Maintenance Mode simultaneously — HA loses its quorum and cannot function.</w:t>
      </w:r>
      <w:r/>
    </w:p>
    <w:p>
      <w:pPr>
        <w:pStyle w:val="819"/>
        <w:numPr>
          <w:ilvl w:val="0"/>
          <w:numId w:val="2"/>
        </w:numPr>
        <w:pBdr/>
        <w:spacing/>
        <w:ind/>
        <w:rPr/>
      </w:pPr>
      <w:r>
        <w:t xml:space="preserve">Do not size individual VMs so large that they cannot run on any single surviving host — they will fail to restart.</w:t>
      </w:r>
      <w:r/>
    </w:p>
    <w:p>
      <w:pPr>
        <w:pStyle w:val="819"/>
        <w:numPr>
          <w:ilvl w:val="0"/>
          <w:numId w:val="2"/>
        </w:numPr>
        <w:pBdr/>
        <w:spacing/>
        <w:ind/>
        <w:rPr/>
      </w:pPr>
      <w:r>
        <w:t xml:space="preserve">Do not disable Admission Control "to be safe" — without it the failover scenario it is designed to protect against will eventually break.</w:t>
      </w:r>
      <w:r/>
    </w:p>
    <w:p>
      <w:pPr>
        <w:pStyle w:val="819"/>
        <w:numPr>
          <w:ilvl w:val="0"/>
          <w:numId w:val="2"/>
        </w:numPr>
        <w:pBdr/>
        <w:spacing/>
        <w:ind/>
        <w:rPr/>
      </w:pPr>
      <w:r>
        <w:t xml:space="preserve">Do not rely on a single iSCSI path or a single NIC for storage — a storage outage defeats HA entirely.</w:t>
      </w:r>
      <w:r/>
    </w:p>
    <w:p>
      <w:pPr>
        <w:pBdr/>
        <w:spacing/>
        <w:ind/>
        <w:rPr/>
      </w:pPr>
      <w:r/>
      <w:r/>
    </w:p>
    <w:p>
      <w:pPr>
        <w:pStyle w:val="827"/>
        <w:pageBreakBefore w:val="true"/>
        <w:pBdr/>
        <w:spacing/>
        <w:ind/>
        <w:rPr/>
      </w:pPr>
      <w:r>
        <w:t xml:space="preserve">Conclusion</w:t>
      </w:r>
      <w:r/>
    </w:p>
    <w:p>
      <w:pPr>
        <w:pBdr/>
        <w:spacing w:after="120"/>
        <w:ind/>
        <w:rPr/>
      </w:pPr>
      <w:r>
        <w:t xml:space="preserve">This project</w:t>
      </w:r>
      <w:r>
        <w:t xml:space="preserve"> covered the full breadth of features required to operate a modern server virtualisation environment, implementing each feature on two leading hypervisor platforms — Proxmox VE and VMware ESXi — and going into depth on the High Availability specialisation.</w:t>
      </w:r>
      <w:r/>
    </w:p>
    <w:p>
      <w:pPr>
        <w:pBdr/>
        <w:spacing w:after="120"/>
        <w:ind/>
        <w:rPr/>
      </w:pPr>
      <w:r>
        <w:t xml:space="preserve">Working with</w:t>
      </w:r>
      <w:r>
        <w:t xml:space="preserve"> both hypervisors highlighted the fundamentally different design philosophies of the two platforms. Proxmox VE is open-source, accessible, and combines KVM and LXC under a unified web interface that exposes most operations in a clear, scriptable fashion. V</w:t>
      </w:r>
      <w:r>
        <w:t xml:space="preserve">Mware ESXi together with vCenter Server represents the matured enterprise-grade product line, with a richer ecosystem of advanced features such as vMotion, DRS, HA, FT, and Lifecycle Manager. The trade-off is one of cost and complexity — Proxmox achieves a</w:t>
      </w:r>
      <w:r>
        <w:t xml:space="preserve"> remarkable amount of the same functionality without licensing fees but requires more manual integration work for advanced features (clustering, HA, shared storage), whereas VMware delivers polished, integrated tooling at the price of commercial licensing.</w:t>
      </w:r>
      <w:r/>
    </w:p>
    <w:p>
      <w:pPr>
        <w:pBdr/>
        <w:spacing w:after="120"/>
        <w:ind/>
        <w:rPr/>
      </w:pPr>
      <w:r>
        <w:t xml:space="preserve">Implementing the High Availability specialisation on VMware in particular reinforced how much careful design goes into a robust HA setup. The </w:t>
      </w:r>
      <w:r>
        <w:t xml:space="preserve">seemingly small detail of providing two independent heartbeat datastores turned out to be a fundamental requirement, and the principles of Admission Control, shared storage, and redundant networking are non-negotiable. The lab also surfaced practical lesso</w:t>
      </w:r>
      <w:r>
        <w:t xml:space="preserve">ns — from carefully sizing the vCenter appliance and its datastore, to coordinating modifications on a shared CLOIF2 NAS to avoid disrupting other student teams, to the importance of working with a stable management network for any vCenter-based operation.</w:t>
      </w:r>
      <w:r/>
    </w:p>
    <w:p>
      <w:pPr>
        <w:pBdr/>
        <w:spacing w:after="120"/>
        <w:ind/>
        <w:rPr/>
      </w:pPr>
      <w:r>
        <w:t xml:space="preserve">Beyon</w:t>
      </w:r>
      <w:r>
        <w:t xml:space="preserve">d the technical content, the project served as an extensive exercise in incremental problem-solving: every feature implementation surfaced its own constellation of edge cases and dependencies, and recovering from situations such as a corrupted vCenter VM o</w:t>
      </w:r>
      <w:r>
        <w:t xml:space="preserve">r an out-of-space datastore was as instructive as the planned curriculum. Documenting the process in parallel with implementing it helped tremendously in retracing decisions later and in building a coherent narrative across two different hypervisor stacks.</w:t>
      </w:r>
      <w:r/>
    </w:p>
    <w:p>
      <w:pPr>
        <w:pBdr/>
        <w:spacing w:after="120"/>
        <w:ind/>
        <w:rPr/>
      </w:pPr>
      <w:r>
        <w:t xml:space="preserve">Both Proxmox VE and VMware ESXi are credib</w:t>
      </w:r>
      <w:r>
        <w:t xml:space="preserve">le enterprise virtualisation platforms in 2026. The choice between them in a real deployment is rarely a purely technical one — operational cost, in-house expertise, ecosystem integration, and support requirements drive the decision at least as much as fea</w:t>
      </w:r>
      <w:r>
        <w:t xml:space="preserve">ture parity. Having worked extensively with both for this project leaves a much clearer picture of where each platform excels and how they complement the broader infrastructure stack — and that, ultimately, was the central learning outcome of this project.</w:t>
      </w:r>
      <w:r/>
    </w:p>
    <w:sectPr>
      <w:headerReference w:type="default" r:id="rId9"/>
      <w:footerReference w:type="default" r:id="rId10"/>
      <w:footnotePr/>
      <w:endnotePr/>
      <w:type w:val="nextPage"/>
      <w:pgSz w:h="16838" w:orient="portrait" w:w="11906"/>
      <w:pgMar w:top="1440" w:right="1440" w:bottom="1440" w:left="1440" w:header="708" w:footer="708" w:gutter="0"/>
      <w:cols w:num="1" w:sep="0" w:space="1701" w:equalWidth="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pBdr/>
        <w:spacing w:after="0" w:line="240" w:lineRule="auto"/>
        <w:ind/>
        <w:rPr/>
      </w:pPr>
      <w:r/>
      <w:r>
        <w:separator/>
      </w:r>
      <w:r/>
    </w:p>
  </w:endnote>
  <w:endnote w:type="continuationSeparator" w:id="0">
    <w:p>
      <w:pPr>
        <w:pBdr/>
        <w:spacing w:after="0" w:line="240" w:lineRule="auto"/>
        <w:ind/>
        <w:rPr/>
      </w:pPr>
      <w: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nsolas">
    <w:panose1 w:val="020B0609020204030204"/>
  </w:font>
  <w:font w:name="Arial">
    <w:panose1 w:val="020B0604020202020204"/>
  </w:font>
  <w:font w:name="Calibri">
    <w:panose1 w:val="020F0502020204030204"/>
  </w:font>
  <w:font w:name="Times New Roman">
    <w:panose1 w:val="02020603050405020304"/>
  </w:font>
  <w:font w:name="Cambria">
    <w:panose1 w:val="020405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Bdr/>
      <w:spacing/>
      <w:ind/>
      <w:jc w:val="center"/>
      <w:rPr/>
    </w:pPr>
    <w:r>
      <w:rPr>
        <w:color w:val="808080"/>
        <w:sz w:val="18"/>
        <w:szCs w:val="18"/>
      </w:rPr>
      <w:t xml:space="preserve">Page </w:t>
    </w:r>
    <w:r>
      <w:rPr>
        <w:color w:val="808080"/>
        <w:sz w:val="18"/>
        <w:szCs w:val="18"/>
      </w:rPr>
      <w:fldChar w:fldCharType="begin"/>
      <w:instrText xml:space="preserve">PAGE</w:instrText>
      <w:fldChar w:fldCharType="separate"/>
      <w:fldChar w:fldCharType="end"/>
    </w:r>
    <w:r>
      <w:rPr>
        <w:color w:val="808080"/>
        <w:sz w:val="18"/>
        <w:szCs w:val="18"/>
      </w:rPr>
      <w:t xml:space="preserve"> of </w:t>
    </w:r>
    <w:r>
      <w:rPr>
        <w:color w:val="808080"/>
        <w:sz w:val="18"/>
        <w:szCs w:val="18"/>
      </w:rPr>
      <w:fldChar w:fldCharType="begin"/>
      <w:instrText xml:space="preserve">NUMPAGES</w:instrText>
      <w:fldChar w:fldCharType="separate"/>
      <w:fldChar w:fldCharType="end"/>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pBdr/>
        <w:spacing w:after="0" w:line="240" w:lineRule="auto"/>
        <w:ind/>
        <w:rPr/>
      </w:pPr>
      <w:r/>
      <w:r>
        <w:separator/>
      </w:r>
      <w:r/>
    </w:p>
  </w:footnote>
  <w:footnote w:type="continuationSeparator" w:id="0">
    <w:p>
      <w:pPr>
        <w:pBdr/>
        <w:spacing w:after="0" w:line="240" w:lineRule="auto"/>
        <w:ind/>
        <w:rPr/>
      </w:pPr>
      <w:r/>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Bdr/>
      <w:spacing/>
      <w:ind/>
      <w:jc w:val="right"/>
      <w:rPr/>
    </w:pPr>
    <w:r>
      <w:rPr>
        <w:i/>
        <w:iCs/>
        <w:color w:val="808080"/>
        <w:sz w:val="18"/>
        <w:szCs w:val="18"/>
      </w:rPr>
      <w:t xml:space="preserve">Server Virtualisation Systems · VIRCL Project</w:t>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lvl w:ilvl="0">
      <w:isLgl w:val="false"/>
      <w:lvlJc w:val="left"/>
      <w:lvlText w:val="●"/>
      <w:numFmt w:val="bullet"/>
      <w:pPr>
        <w:pBdr/>
        <w:spacing/>
        <w:ind w:hanging="360" w:left="720"/>
      </w:pPr>
      <w:rPr/>
      <w:start w:val="1"/>
      <w:suff w:val="tab"/>
    </w:lvl>
    <w:lvl w:ilvl="1">
      <w:isLgl w:val="false"/>
      <w:lvlJc w:val="left"/>
      <w:lvlText w:val="○"/>
      <w:numFmt w:val="bullet"/>
      <w:pPr>
        <w:pBdr/>
        <w:spacing/>
        <w:ind w:hanging="360" w:left="1440"/>
      </w:pPr>
      <w:rPr/>
      <w:start w:val="1"/>
      <w:suff w:val="tab"/>
    </w:lvl>
    <w:lvl w:ilvl="2">
      <w:isLgl w:val="false"/>
      <w:lvlJc w:val="left"/>
      <w:lvlText w:val="■"/>
      <w:numFmt w:val="bullet"/>
      <w:pPr>
        <w:pBdr/>
        <w:spacing/>
        <w:ind w:hanging="360" w:left="2160"/>
      </w:pPr>
      <w:rPr/>
      <w:start w:val="1"/>
      <w:suff w:val="tab"/>
    </w:lvl>
    <w:lvl w:ilvl="3">
      <w:isLgl w:val="false"/>
      <w:lvlJc w:val="left"/>
      <w:lvlText w:val="●"/>
      <w:numFmt w:val="bullet"/>
      <w:pPr>
        <w:pBdr/>
        <w:spacing/>
        <w:ind w:hanging="360" w:left="2880"/>
      </w:pPr>
      <w:rPr/>
      <w:start w:val="1"/>
      <w:suff w:val="tab"/>
    </w:lvl>
    <w:lvl w:ilvl="4">
      <w:isLgl w:val="false"/>
      <w:lvlJc w:val="left"/>
      <w:lvlText w:val="○"/>
      <w:numFmt w:val="bullet"/>
      <w:pPr>
        <w:pBdr/>
        <w:spacing/>
        <w:ind w:hanging="360" w:left="3600"/>
      </w:pPr>
      <w:rPr/>
      <w:start w:val="1"/>
      <w:suff w:val="tab"/>
    </w:lvl>
    <w:lvl w:ilvl="5">
      <w:isLgl w:val="false"/>
      <w:lvlJc w:val="left"/>
      <w:lvlText w:val="■"/>
      <w:numFmt w:val="bullet"/>
      <w:pPr>
        <w:pBdr/>
        <w:spacing/>
        <w:ind w:hanging="360" w:left="4320"/>
      </w:pPr>
      <w:rPr/>
      <w:start w:val="1"/>
      <w:suff w:val="tab"/>
    </w:lvl>
    <w:lvl w:ilvl="6">
      <w:isLgl w:val="false"/>
      <w:lvlJc w:val="left"/>
      <w:lvlText w:val="●"/>
      <w:numFmt w:val="bullet"/>
      <w:pPr>
        <w:pBdr/>
        <w:spacing/>
        <w:ind w:hanging="360" w:left="5040"/>
      </w:pPr>
      <w:rPr/>
      <w:start w:val="1"/>
      <w:suff w:val="tab"/>
    </w:lvl>
    <w:lvl w:ilvl="7">
      <w:isLgl w:val="false"/>
      <w:lvlJc w:val="left"/>
      <w:lvlText w:val="●"/>
      <w:numFmt w:val="bullet"/>
      <w:pPr>
        <w:pBdr/>
        <w:spacing/>
        <w:ind w:hanging="360" w:left="5760"/>
      </w:pPr>
      <w:rPr/>
      <w:start w:val="1"/>
      <w:suff w:val="tab"/>
    </w:lvl>
    <w:lvl w:ilvl="8">
      <w:isLgl w:val="false"/>
      <w:lvlJc w:val="left"/>
      <w:lvlText w:val="●"/>
      <w:numFmt w:val="bullet"/>
      <w:pPr>
        <w:pBdr/>
        <w:spacing/>
        <w:ind w:hanging="360" w:left="6480"/>
      </w:pPr>
      <w:rPr/>
      <w:start w:val="1"/>
      <w:suff w:val="tab"/>
    </w:lvl>
  </w:abstractNum>
  <w:abstractNum w:abstractNumId="1">
    <w:lvl w:ilvl="0">
      <w:isLgl w:val="false"/>
      <w:lvlJc w:val="left"/>
      <w:lvlText w:val="•"/>
      <w:numFmt w:val="bullet"/>
      <w:pPr>
        <w:pBdr/>
        <w:spacing/>
        <w:ind w:hanging="360" w:left="720"/>
      </w:pPr>
      <w:rPr/>
      <w:start w:val="1"/>
      <w:suff w:val="tab"/>
    </w:lvl>
    <w:lvl w:ilvl="1">
      <w:isLgl w:val="false"/>
      <w:lvlJc w:val="left"/>
      <w:lvlText w:val=""/>
      <w:numFmt w:val="bullet"/>
      <w:pPr>
        <w:pBdr/>
        <w:spacing/>
        <w:ind/>
      </w:pPr>
      <w:rPr/>
      <w:start w:val="0"/>
      <w:suff w:val="tab"/>
    </w:lvl>
    <w:lvl w:ilvl="2">
      <w:isLgl w:val="false"/>
      <w:lvlJc w:val="left"/>
      <w:lvlText w:val=""/>
      <w:numFmt w:val="bullet"/>
      <w:pPr>
        <w:pBdr/>
        <w:spacing/>
        <w:ind/>
      </w:pPr>
      <w:rPr/>
      <w:start w:val="0"/>
      <w:suff w:val="tab"/>
    </w:lvl>
    <w:lvl w:ilvl="3">
      <w:isLgl w:val="false"/>
      <w:lvlJc w:val="left"/>
      <w:lvlText w:val=""/>
      <w:numFmt w:val="bullet"/>
      <w:pPr>
        <w:pBdr/>
        <w:spacing/>
        <w:ind/>
      </w:pPr>
      <w:rPr/>
      <w:start w:val="0"/>
      <w:suff w:val="tab"/>
    </w:lvl>
    <w:lvl w:ilvl="4">
      <w:isLgl w:val="false"/>
      <w:lvlJc w:val="left"/>
      <w:lvlText w:val=""/>
      <w:numFmt w:val="bullet"/>
      <w:pPr>
        <w:pBdr/>
        <w:spacing/>
        <w:ind/>
      </w:pPr>
      <w:rPr/>
      <w:start w:val="0"/>
      <w:suff w:val="tab"/>
    </w:lvl>
    <w:lvl w:ilvl="5">
      <w:isLgl w:val="false"/>
      <w:lvlJc w:val="left"/>
      <w:lvlText w:val=""/>
      <w:numFmt w:val="bullet"/>
      <w:pPr>
        <w:pBdr/>
        <w:spacing/>
        <w:ind/>
      </w:pPr>
      <w:rPr/>
      <w:start w:val="0"/>
      <w:suff w:val="tab"/>
    </w:lvl>
    <w:lvl w:ilvl="6">
      <w:isLgl w:val="false"/>
      <w:lvlJc w:val="left"/>
      <w:lvlText w:val=""/>
      <w:numFmt w:val="bullet"/>
      <w:pPr>
        <w:pBdr/>
        <w:spacing/>
        <w:ind/>
      </w:pPr>
      <w:rPr/>
      <w:start w:val="0"/>
      <w:suff w:val="tab"/>
    </w:lvl>
    <w:lvl w:ilvl="7">
      <w:isLgl w:val="false"/>
      <w:lvlJc w:val="left"/>
      <w:lvlText w:val=""/>
      <w:numFmt w:val="bullet"/>
      <w:pPr>
        <w:pBdr/>
        <w:spacing/>
        <w:ind/>
      </w:pPr>
      <w:rPr/>
      <w:start w:val="0"/>
      <w:suff w:val="tab"/>
    </w:lvl>
    <w:lvl w:ilvl="8">
      <w:isLgl w:val="false"/>
      <w:lvlJc w:val="left"/>
      <w:lvlText w:val=""/>
      <w:numFmt w:val="bullet"/>
      <w:pPr>
        <w:pBdr/>
        <w:spacing/>
        <w:ind/>
      </w:pPr>
      <w:rPr/>
      <w:start w:val="0"/>
      <w:suff w:val="tab"/>
    </w:lvl>
  </w:abstractNum>
  <w:abstractNum w:abstractNumId="2">
    <w:lvl w:ilvl="0">
      <w:isLgl w:val="false"/>
      <w:lvlJc w:val="left"/>
      <w:lvlText w:val="%1."/>
      <w:numFmt w:val="decimal"/>
      <w:pPr>
        <w:pBdr/>
        <w:spacing/>
        <w:ind w:hanging="360" w:left="720"/>
      </w:pPr>
      <w:rPr/>
      <w:start w:val="1"/>
      <w:suff w:val="tab"/>
    </w:lvl>
    <w:lvl w:ilvl="1">
      <w:isLgl w:val="false"/>
      <w:lvlJc w:val="left"/>
      <w:lvlText w:val=""/>
      <w:numFmt w:val="bullet"/>
      <w:pPr>
        <w:pBdr/>
        <w:spacing/>
        <w:ind/>
      </w:pPr>
      <w:rPr/>
      <w:start w:val="0"/>
      <w:suff w:val="tab"/>
    </w:lvl>
    <w:lvl w:ilvl="2">
      <w:isLgl w:val="false"/>
      <w:lvlJc w:val="left"/>
      <w:lvlText w:val=""/>
      <w:numFmt w:val="bullet"/>
      <w:pPr>
        <w:pBdr/>
        <w:spacing/>
        <w:ind/>
      </w:pPr>
      <w:rPr/>
      <w:start w:val="0"/>
      <w:suff w:val="tab"/>
    </w:lvl>
    <w:lvl w:ilvl="3">
      <w:isLgl w:val="false"/>
      <w:lvlJc w:val="left"/>
      <w:lvlText w:val=""/>
      <w:numFmt w:val="bullet"/>
      <w:pPr>
        <w:pBdr/>
        <w:spacing/>
        <w:ind/>
      </w:pPr>
      <w:rPr/>
      <w:start w:val="0"/>
      <w:suff w:val="tab"/>
    </w:lvl>
    <w:lvl w:ilvl="4">
      <w:isLgl w:val="false"/>
      <w:lvlJc w:val="left"/>
      <w:lvlText w:val=""/>
      <w:numFmt w:val="bullet"/>
      <w:pPr>
        <w:pBdr/>
        <w:spacing/>
        <w:ind/>
      </w:pPr>
      <w:rPr/>
      <w:start w:val="0"/>
      <w:suff w:val="tab"/>
    </w:lvl>
    <w:lvl w:ilvl="5">
      <w:isLgl w:val="false"/>
      <w:lvlJc w:val="left"/>
      <w:lvlText w:val=""/>
      <w:numFmt w:val="bullet"/>
      <w:pPr>
        <w:pBdr/>
        <w:spacing/>
        <w:ind/>
      </w:pPr>
      <w:rPr/>
      <w:start w:val="0"/>
      <w:suff w:val="tab"/>
    </w:lvl>
    <w:lvl w:ilvl="6">
      <w:isLgl w:val="false"/>
      <w:lvlJc w:val="left"/>
      <w:lvlText w:val=""/>
      <w:numFmt w:val="bullet"/>
      <w:pPr>
        <w:pBdr/>
        <w:spacing/>
        <w:ind/>
      </w:pPr>
      <w:rPr/>
      <w:start w:val="0"/>
      <w:suff w:val="tab"/>
    </w:lvl>
    <w:lvl w:ilvl="7">
      <w:isLgl w:val="false"/>
      <w:lvlJc w:val="left"/>
      <w:lvlText w:val=""/>
      <w:numFmt w:val="bullet"/>
      <w:pPr>
        <w:pBdr/>
        <w:spacing/>
        <w:ind/>
      </w:pPr>
      <w:rPr/>
      <w:start w:val="0"/>
      <w:suff w:val="tab"/>
    </w:lvl>
    <w:lvl w:ilvl="8">
      <w:isLgl w:val="false"/>
      <w:lvlJc w:val="left"/>
      <w:lvlText w:val=""/>
      <w:numFmt w:val="bullet"/>
      <w:pPr>
        <w:pBdr/>
        <w:spacing/>
        <w:ind/>
      </w:pPr>
      <w:rPr/>
      <w:start w:val="0"/>
      <w:suff w:val="tab"/>
    </w:lvl>
  </w:abstractNum>
  <w:num w:numId="1">
    <w:abstractNumId w:val="0"/>
    <w:lvlOverride w:ilvl="0">
      <w:startOverride w:val="1"/>
    </w:lvlOverride>
  </w:num>
  <w:num w:numId="2">
    <w:abstractNumId w:val="1"/>
    <w:lvlOverride w:ilvl="0">
      <w:startOverride w:val="1"/>
    </w:lvlOverride>
  </w:num>
  <w:num w:numId="3">
    <w:abstractNumId w:val="2"/>
    <w:lvlOverride w:ilvl="0">
      <w:startOverride w:val="1"/>
    </w:lvlOverride>
  </w:num>
  <w:num w:numId="4">
    <w:abstractNumId w:val="2"/>
    <w:lvlOverride w:ilvl="0">
      <w:startOverride w:val="1"/>
    </w:lvlOverride>
  </w:num>
  <w:num w:numId="5">
    <w:abstractNumId w:val="2"/>
    <w:lvlOverride w:ilvl="0">
      <w:startOverride w:val="1"/>
    </w:lvlOverride>
  </w:num>
  <w:num w:numId="6">
    <w:abstractNumId w:val="2"/>
    <w:lvlOverride w:ilvl="0">
      <w:startOverride w:val="1"/>
    </w:lvlOverride>
  </w:num>
  <w:num w:numId="7">
    <w:abstractNumId w:val="2"/>
    <w:lvlOverride w:ilvl="0">
      <w:startOverride w:val="1"/>
    </w:lvlOverride>
  </w:num>
  <w:num w:numId="8">
    <w:abstractNumId w:val="2"/>
    <w:lvlOverride w:ilvl="0">
      <w:startOverride w:val="1"/>
    </w:lvlOverride>
  </w:num>
  <w:num w:numId="9">
    <w:abstractNumId w:val="2"/>
    <w:lvlOverride w:ilvl="0">
      <w:startOverride w:val="1"/>
    </w:lvlOverride>
  </w:num>
  <w:num w:numId="10">
    <w:abstractNumId w:val="2"/>
    <w:lvlOverride w:ilvl="0">
      <w:startOverride w:val="1"/>
    </w:lvlOverride>
  </w:num>
  <w:num w:numId="11">
    <w:abstractNumId w:val="2"/>
    <w:lvlOverride w:ilvl="0">
      <w:startOverride w:val="1"/>
    </w:lvlOverride>
  </w:num>
  <w:num w:numId="12">
    <w:abstractNumId w:val="2"/>
    <w:lvlOverride w:ilvl="0">
      <w:startOverride w:val="1"/>
    </w:lvlOverride>
  </w:num>
  <w:num w:numId="13">
    <w:abstractNumId w:val="2"/>
    <w:lvlOverride w:ilvl="0">
      <w:startOverride w:val="1"/>
    </w:lvlOverride>
  </w:num>
  <w:num w:numId="14">
    <w:abstractNumId w:val="2"/>
    <w:lvlOverride w:ilvl="0">
      <w:startOverride w:val="1"/>
    </w:lvlOverride>
  </w:num>
  <w:num w:numId="15">
    <w:abstractNumId w:val="2"/>
    <w:lvlOverride w:ilvl="0">
      <w:startOverride w:val="1"/>
    </w:lvlOverride>
  </w:num>
  <w:num w:numId="16">
    <w:abstractNumId w:val="2"/>
    <w:lvlOverride w:ilvl="0">
      <w:startOverride w:val="1"/>
    </w:lvlOverride>
  </w:num>
  <w:num w:numId="17">
    <w:abstractNumId w:val="2"/>
    <w:lvlOverride w:ilvl="0">
      <w:startOverride w:val="1"/>
    </w:lvlOverride>
  </w:num>
  <w:num w:numId="18">
    <w:abstractNumId w:val="2"/>
    <w:lvlOverride w:ilvl="0">
      <w:startOverride w:val="1"/>
    </w:lvlOverride>
  </w:num>
  <w:num w:numId="19">
    <w:abstractNumId w:val="2"/>
    <w:lvlOverride w:ilvl="0">
      <w:startOverride w:val="1"/>
    </w:lvlOverride>
  </w:num>
  <w:num w:numId="20">
    <w:abstractNumId w:val="2"/>
    <w:lvlOverride w:ilvl="0">
      <w:startOverride w:val="1"/>
    </w:lvlOverride>
  </w:num>
  <w:num w:numId="21">
    <w:abstractNumId w:val="2"/>
    <w:lvlOverride w:ilvl="0">
      <w:startOverride w:val="1"/>
    </w:lvlOverride>
  </w:num>
  <w:num w:numId="22">
    <w:abstractNumId w:val="2"/>
    <w:lvlOverride w:ilvl="0">
      <w:startOverride w:val="1"/>
    </w:lvlOverride>
  </w:num>
  <w:num w:numId="23">
    <w:abstractNumId w:val="2"/>
    <w:lvlOverride w:ilvl="0">
      <w:startOverride w:val="1"/>
    </w:lvlOverride>
  </w:num>
  <w:num w:numId="24">
    <w:abstractNumId w:val="2"/>
    <w:lvlOverride w:ilvl="0">
      <w:startOverride w:val="1"/>
    </w:lvlOverride>
  </w:num>
  <w:num w:numId="25">
    <w:abstractNumId w:val="2"/>
    <w:lvlOverride w:ilvl="0">
      <w:startOverride w:val="1"/>
    </w:lvlOverride>
  </w:num>
  <w:num w:numId="26">
    <w:abstractNumId w:val="2"/>
    <w:lvlOverride w:ilvl="0">
      <w:startOverride w:val="1"/>
    </w:lvlOverride>
  </w:num>
  <w:num w:numId="27">
    <w:abstractNumId w:val="2"/>
    <w:lvlOverride w:ilvl="0">
      <w:startOverride w:val="1"/>
    </w:lvlOverride>
  </w:num>
  <w:num w:numId="28">
    <w:abstractNumId w:val="2"/>
    <w:lvlOverride w:ilvl="0">
      <w:startOverride w:val="1"/>
    </w:lvlOverride>
  </w:num>
  <w:num w:numId="29">
    <w:abstractNumId w:val="2"/>
    <w:lvlOverride w:ilvl="0">
      <w:startOverride w:val="1"/>
    </w:lvlOverride>
  </w:num>
  <w:num w:numId="30">
    <w:abstractNumId w:val="2"/>
    <w:lvlOverride w:ilvl="0">
      <w:startOverride w:val="1"/>
    </w:lvlOverride>
  </w:num>
  <w:num w:numId="31">
    <w:abstractNumId w:val="2"/>
    <w:lvlOverride w:ilvl="0">
      <w:startOverride w:val="1"/>
    </w:lvlOverride>
  </w:num>
  <w:num w:numId="32">
    <w:abstractNumId w:val="2"/>
    <w:lvlOverride w:ilvl="0">
      <w:startOverride w:val="1"/>
    </w:lvlOverride>
  </w:num>
  <w:num w:numId="33">
    <w:abstractNumId w:val="2"/>
    <w:lvlOverride w:ilvl="0">
      <w:startOverride w:val="1"/>
    </w:lvlOverride>
  </w:num>
  <w:num w:numId="34">
    <w:abstractNumId w:val="2"/>
    <w:lvlOverride w:ilvl="0">
      <w:startOverride w:val="1"/>
    </w:lvlOverride>
  </w:num>
  <w:num w:numId="35">
    <w:abstractNumId w:val="2"/>
    <w:lvlOverride w:ilvl="0">
      <w:startOverride w:val="1"/>
    </w:lvlOverride>
  </w:num>
  <w:num w:numId="36">
    <w:abstractNumId w:val="2"/>
    <w:lvlOverride w:ilvl="0">
      <w:startOverride w:val="1"/>
    </w:lvlOverride>
  </w:num>
  <w:num w:numId="37">
    <w:abstractNumId w:val="2"/>
    <w:lvlOverride w:ilvl="0">
      <w:startOverride w:val="1"/>
    </w:lvlOverride>
  </w:num>
  <w:num w:numId="38">
    <w:abstractNumId w:val="2"/>
    <w:lvlOverride w:ilvl="0">
      <w:startOverride w:val="1"/>
    </w:lvlOverride>
  </w:num>
  <w:num w:numId="39">
    <w:abstractNumId w:val="2"/>
    <w:lvlOverride w:ilvl="0">
      <w:startOverride w:val="1"/>
    </w:lvlOverride>
  </w:num>
  <w:num w:numId="40">
    <w:abstractNumId w:val="2"/>
    <w:lvlOverride w:ilvl="0">
      <w:startOverride w:val="1"/>
    </w:lvlOverride>
  </w:num>
  <w:num w:numId="41">
    <w:abstractNumId w:val="2"/>
    <w:lvlOverride w:ilvl="0">
      <w:startOverride w:val="1"/>
    </w:lvlOverride>
  </w:num>
  <w:num w:numId="42">
    <w:abstractNumId w:val="2"/>
    <w:lvlOverride w:ilvl="0">
      <w:startOverride w:val="1"/>
    </w:lvlOverride>
  </w:num>
  <w:num w:numId="43">
    <w:abstractNumId w:val="2"/>
    <w:lvlOverride w:ilvl="0">
      <w:startOverride w:val="1"/>
    </w:lvlOverride>
  </w:num>
  <w:num w:numId="44">
    <w:abstractNumId w:val="2"/>
    <w:lvlOverride w:ilvl="0">
      <w:startOverride w:val="1"/>
    </w:lvlOverride>
  </w:num>
  <w:num w:numId="45">
    <w:abstractNumId w:val="2"/>
    <w:lvlOverride w:ilvl="0">
      <w:startOverride w:val="1"/>
    </w:lvlOverride>
  </w:num>
  <w:num w:numId="46">
    <w:abstractNumId w:val="2"/>
    <w:lvlOverride w:ilvl="0">
      <w:startOverride w:val="1"/>
    </w:lvlOverride>
  </w:num>
  <w:num w:numId="47">
    <w:abstractNumId w:val="2"/>
    <w:lvlOverride w:ilvl="0">
      <w:startOverride w:val="1"/>
    </w:lvlOverride>
  </w:num>
  <w:num w:numId="48">
    <w:abstractNumId w:val="2"/>
    <w:lvlOverride w:ilvl="0">
      <w:startOverride w:val="1"/>
    </w:lvlOverride>
  </w:num>
  <w:num w:numId="49">
    <w:abstractNumId w:val="2"/>
    <w:lvlOverride w:ilvl="0">
      <w:startOverride w:val="1"/>
    </w:lvlOverride>
  </w:num>
  <w:num w:numId="50">
    <w:abstractNumId w:val="2"/>
    <w:lvlOverride w:ilvl="0">
      <w:startOverride w:val="1"/>
    </w:lvlOverride>
  </w:num>
  <w:num w:numId="51">
    <w:abstractNumId w:val="2"/>
    <w:lvlOverride w:ilvl="0">
      <w:startOverride w:val="1"/>
    </w:lvlOverride>
  </w:num>
  <w:num w:numId="52">
    <w:abstractNumId w:val="2"/>
    <w:lvlOverride w:ilvl="0">
      <w:startOverride w:val="1"/>
    </w:lvlOverride>
  </w:num>
  <w:num w:numId="53">
    <w:abstractNumId w:val="2"/>
    <w:lvlOverride w:ilvl="0">
      <w:startOverride w:val="1"/>
    </w:lvlOverride>
  </w:num>
  <w:num w:numId="54">
    <w:abstractNumId w:val="2"/>
    <w:lvlOverride w:ilvl="0">
      <w:startOverride w:val="1"/>
    </w:lvlOverride>
  </w:num>
  <w:num w:numId="55">
    <w:abstractNumId w:val="2"/>
    <w:lvlOverride w:ilvl="0">
      <w:startOverride w:val="1"/>
    </w:lvlOverride>
  </w:num>
  <w:num w:numId="56">
    <w:abstractNumId w:val="2"/>
    <w:lvlOverride w:ilvl="0">
      <w:startOverride w:val="1"/>
    </w:lvlOverride>
  </w:num>
  <w:num w:numId="57">
    <w:abstractNumId w:val="2"/>
    <w:lvlOverride w:ilvl="0">
      <w:startOverride w:val="1"/>
    </w:lvlOverride>
  </w:num>
  <w:num w:numId="58">
    <w:abstractNumId w:val="2"/>
    <w:lvlOverride w:ilvl="0">
      <w:startOverride w:val="1"/>
    </w:lvlOverride>
  </w:num>
  <w:num w:numId="59">
    <w:abstractNumId w:val="2"/>
    <w:lvlOverride w:ilvl="0">
      <w:startOverride w:val="1"/>
    </w:lvlOverride>
  </w:num>
  <w:num w:numId="60">
    <w:abstractNumId w:val="2"/>
    <w:lvlOverride w:ilvl="0">
      <w:startOverride w:val="1"/>
    </w:lvlOverride>
  </w:num>
  <w:num w:numId="61">
    <w:abstractNumId w:val="2"/>
    <w:lvlOverride w:ilvl="0">
      <w:startOverride w:val="1"/>
    </w:lvlOverride>
  </w:num>
  <w:num w:numId="62">
    <w:abstractNumId w:val="2"/>
    <w:lvlOverride w:ilvl="0">
      <w:startOverride w:val="1"/>
    </w:lvlOverride>
  </w:num>
  <w:num w:numId="63">
    <w:abstractNumId w:val="2"/>
    <w:lvlOverride w:ilvl="0">
      <w:startOverride w:val="1"/>
    </w:lvlOverride>
  </w:num>
  <w:num w:numId="64">
    <w:abstractNumId w:val="2"/>
    <w:lvlOverride w:ilvl="0">
      <w:startOverride w:val="1"/>
    </w:lvlOverride>
  </w:num>
  <w:num w:numId="65">
    <w:abstractNumId w:val="2"/>
    <w:lvlOverride w:ilvl="0">
      <w:startOverride w:val="1"/>
    </w:lvlOverride>
  </w:num>
  <w:num w:numId="66">
    <w:abstractNumId w:val="2"/>
    <w:lvlOverride w:ilvl="0">
      <w:startOverride w:val="1"/>
    </w:lvlOverride>
  </w:num>
  <w:num w:numId="67">
    <w:abstractNumId w:val="2"/>
    <w:lvlOverride w:ilvl="0">
      <w:startOverride w:val="1"/>
    </w:lvlOverride>
  </w:num>
  <w:num w:numId="68">
    <w:abstractNumId w:val="2"/>
    <w:lvlOverride w:ilvl="0">
      <w:startOverride w:val="1"/>
    </w:lvlOverride>
  </w:num>
  <w:num w:numId="69">
    <w:abstractNumId w:val="2"/>
    <w:lvlOverride w:ilvl="0">
      <w:startOverride w:val="1"/>
    </w:lvlOverride>
  </w:num>
  <w:num w:numId="70">
    <w:abstractNumId w:val="2"/>
    <w:lvlOverride w:ilvl="0">
      <w:startOverride w:val="1"/>
    </w:lvlOverride>
  </w:num>
  <w:num w:numId="71">
    <w:abstractNumId w:val="2"/>
    <w:lvlOverride w:ilvl="0">
      <w:startOverride w:val="1"/>
    </w:lvlOverride>
  </w:num>
  <w:num w:numId="72">
    <w:abstractNumId w:val="2"/>
    <w:lvlOverride w:ilvl="0">
      <w:startOverride w:val="1"/>
    </w:lvlOverride>
  </w:num>
  <w:num w:numId="73">
    <w:abstractNumId w:val="2"/>
    <w:lvlOverride w:ilvl="0">
      <w:startOverride w:val="1"/>
    </w:lvlOverride>
  </w:num>
  <w:num w:numId="74">
    <w:abstractNumId w:val="2"/>
    <w:lvlOverride w:ilvl="0">
      <w:startOverride w:val="1"/>
    </w:lvlOverride>
  </w:num>
  <w:num w:numId="75">
    <w:abstractNumId w:val="2"/>
    <w:lvlOverride w:ilvl="0">
      <w:startOverride w:val="1"/>
    </w:lvlOverride>
  </w:num>
  <w:num w:numId="76">
    <w:abstractNumId w:val="2"/>
    <w:lvlOverride w:ilvl="0">
      <w:startOverride w:val="1"/>
    </w:lvlOverride>
  </w:num>
  <w:num w:numId="77">
    <w:abstractNumId w:val="2"/>
    <w:lvlOverride w:ilvl="0">
      <w:startOverride w:val="1"/>
    </w:lvlOverride>
  </w:num>
  <w:num w:numId="78">
    <w:abstractNumId w:val="2"/>
    <w:lvlOverride w:ilvl="0">
      <w:startOverride w:val="1"/>
    </w:lvlOverride>
  </w:num>
  <w:num w:numId="79">
    <w:abstractNumId w:val="2"/>
    <w:lvlOverride w:ilvl="0">
      <w:startOverride w:val="1"/>
    </w:lvlOverride>
  </w:num>
  <w:num w:numId="80">
    <w:abstractNumId w:val="2"/>
    <w:lvlOverride w:ilvl="0">
      <w:startOverride w:val="1"/>
    </w:lvlOverride>
  </w:num>
  <w:num w:numId="81">
    <w:abstractNumId w:val="2"/>
    <w:lvlOverride w:ilvl="0">
      <w:startOverride w:val="1"/>
    </w:lvlOverride>
  </w:num>
  <w:num w:numId="82">
    <w:abstractNumId w:val="2"/>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09"/>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Calibri" w:hAnsi="Calibri" w:eastAsia="Calibri" w:cs="Calibri"/>
        <w:sz w:val="22"/>
        <w:szCs w:val="22"/>
      </w:rPr>
    </w:rPrDefault>
    <w:pPrDefault>
      <w:pPr>
        <w:pBdr/>
        <w:spacing/>
        <w:ind/>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table" w:styleId="11" w:default="1">
    <w:name w:val="Normal Table"/>
    <w:uiPriority w:val="99"/>
    <w:semiHidden/>
    <w:unhideWhenUsed/>
    <w:pPr>
      <w:pBdr/>
      <w:spacing/>
      <w:ind/>
    </w:pPr>
    <w:tblPr>
      <w:tblInd w:w="0" w:type="dxa"/>
      <w:tblCellMar>
        <w:left w:w="108" w:type="dxa"/>
        <w:top w:w="0" w:type="dxa"/>
        <w:right w:w="108"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
    <w:name w:val="Table Grid"/>
    <w:basedOn w:val="11"/>
    <w:uiPriority w:val="59"/>
    <w:pPr>
      <w:pBdr/>
      <w:spacing w:after="0" w:line="240" w:lineRule="auto"/>
      <w:ind/>
    </w:pPr>
    <w:tblPr>
      <w:tblInd w:w="0" w:type="dxa"/>
      <w:tblCellMar>
        <w:left w:w="108" w:type="dxa"/>
        <w:top w:w="0" w:type="dxa"/>
        <w:right w:w="108" w:type="dxa"/>
        <w:bottom w:w="0" w:type="dxa"/>
      </w:tblCellMa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
    <w:name w:val="Table Grid Light"/>
    <w:basedOn w:val="11"/>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
    <w:name w:val="Plain Table 1"/>
    <w:basedOn w:val="11"/>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
    <w:name w:val="Plain Table 2"/>
    <w:basedOn w:val="11"/>
    <w:uiPriority w:val="59"/>
    <w:pPr>
      <w:pBdr/>
      <w:spacing w:after="0" w:line="240" w:lineRule="auto"/>
      <w:ind/>
    </w:pPr>
    <w:tblPr>
      <w:tblInd w:w="0" w:type="dxa"/>
      <w:tblCellMar>
        <w:left w:w="108" w:type="dxa"/>
        <w:top w:w="0" w:type="dxa"/>
        <w:right w:w="108" w:type="dxa"/>
        <w:bottom w:w="0" w:type="dxa"/>
      </w:tblCellMar>
      <w:tblBorders>
        <w:top w:val="single" w:color="000000" w:themeColor="text1" w:sz="4" w:space="0"/>
        <w:left w:val="none" w:color="000000" w:themeColor="text1" w:sz="4" w:space="0"/>
        <w:bottom w:val="single" w:color="000000" w:themeColor="text1" w:sz="4" w:space="0"/>
        <w:right w:val="none" w:color="000000" w:themeColor="text1" w:sz="4" w:space="0"/>
      </w:tblBorders>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
    <w:name w:val="Plain Table 3"/>
    <w:basedOn w:val="11"/>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7">
    <w:name w:val="Plain Table 4"/>
    <w:basedOn w:val="11"/>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8">
    <w:name w:val="Plain Table 5"/>
    <w:basedOn w:val="11"/>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right w:val="single" w:color="404040" w:sz="4" w:space="0"/>
        </w:tcBorders>
      </w:tcPr>
    </w:tblStylePr>
    <w:tblStylePr w:type="firstRow">
      <w:rPr>
        <w:i/>
        <w:color w:val="404040"/>
      </w:rPr>
      <w:pPr>
        <w:pBdr/>
        <w:spacing/>
        <w:ind/>
      </w:pPr>
      <w:tblPr>
        <w:tblBorders/>
      </w:tblPr>
      <w:tcPr>
        <w:shd w:val="clear" w:color="ffffff"/>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tcBorders>
          <w:left w:val="single" w:color="404040" w:sz="4" w:space="0"/>
        </w:tcBorders>
      </w:tcPr>
    </w:tblStylePr>
    <w:tblStylePr w:type="lastRow">
      <w:rPr>
        <w:i/>
        <w:color w:val="404040"/>
      </w:rPr>
      <w:pPr>
        <w:pBdr/>
        <w:spacing/>
        <w:ind/>
      </w:pPr>
      <w:tblPr>
        <w:tblBorders/>
      </w:tblPr>
      <w:tcPr>
        <w:shd w:val="clear" w:color="ffffff"/>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9">
    <w:name w:val="Grid Table 1 Light"/>
    <w:basedOn w:val="11"/>
    <w:uiPriority w:val="99"/>
    <w:pPr>
      <w:pBdr/>
      <w:spacing w:after="0" w:line="240" w:lineRule="auto"/>
      <w:ind/>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0">
    <w:name w:val="Grid Table 1 Light - Accent 1"/>
    <w:basedOn w:val="11"/>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1">
    <w:name w:val="Grid Table 1 Light - Accent 2"/>
    <w:basedOn w:val="11"/>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2">
    <w:name w:val="Grid Table 1 Light - Accent 3"/>
    <w:basedOn w:val="11"/>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3">
    <w:name w:val="Grid Table 1 Light - Accent 4"/>
    <w:basedOn w:val="11"/>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4">
    <w:name w:val="Grid Table 1 Light - Accent 5"/>
    <w:basedOn w:val="11"/>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5">
    <w:name w:val="Grid Table 1 Light - Accent 6"/>
    <w:basedOn w:val="11"/>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6">
    <w:name w:val="Grid Table 2"/>
    <w:basedOn w:val="11"/>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7">
    <w:name w:val="Grid Table 2 - Accent 1"/>
    <w:basedOn w:val="11"/>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8">
    <w:name w:val="Grid Table 2 - Accent 2"/>
    <w:basedOn w:val="11"/>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9">
    <w:name w:val="Grid Table 2 - Accent 3"/>
    <w:basedOn w:val="11"/>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0">
    <w:name w:val="Grid Table 2 - Accent 4"/>
    <w:basedOn w:val="11"/>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1">
    <w:name w:val="Grid Table 2 - Accent 5"/>
    <w:basedOn w:val="11"/>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2">
    <w:name w:val="Grid Table 2 - Accent 6"/>
    <w:basedOn w:val="11"/>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3">
    <w:name w:val="Grid Table 3"/>
    <w:basedOn w:val="11"/>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4">
    <w:name w:val="Grid Table 3 - Accent 1"/>
    <w:basedOn w:val="11"/>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5">
    <w:name w:val="Grid Table 3 - Accent 2"/>
    <w:basedOn w:val="11"/>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6">
    <w:name w:val="Grid Table 3 - Accent 3"/>
    <w:basedOn w:val="11"/>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7">
    <w:name w:val="Grid Table 3 - Accent 4"/>
    <w:basedOn w:val="11"/>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8">
    <w:name w:val="Grid Table 3 - Accent 5"/>
    <w:basedOn w:val="11"/>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9">
    <w:name w:val="Grid Table 3 - Accent 6"/>
    <w:basedOn w:val="11"/>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0">
    <w:name w:val="Grid Table 4"/>
    <w:basedOn w:val="11"/>
    <w:uiPriority w:val="59"/>
    <w:pPr>
      <w:pBdr/>
      <w:spacing w:after="0" w:line="240" w:lineRule="auto"/>
      <w:ind/>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1">
    <w:name w:val="Grid Table 4 - Accent 1"/>
    <w:basedOn w:val="11"/>
    <w:uiPriority w:val="5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1Vert">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themeTint="EA" w:fill="5d8b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2">
    <w:name w:val="Grid Table 4 - Accent 2"/>
    <w:basedOn w:val="11"/>
    <w:uiPriority w:val="5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3">
    <w:name w:val="Grid Table 4 - Accent 3"/>
    <w:basedOn w:val="11"/>
    <w:uiPriority w:val="5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FE" w:fill="9bbb5a"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4">
    <w:name w:val="Grid Table 4 - Accent 4"/>
    <w:basedOn w:val="11"/>
    <w:uiPriority w:val="5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5">
    <w:name w:val="Grid Table 4 - Accent 5"/>
    <w:basedOn w:val="11"/>
    <w:uiPriority w:val="5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6">
    <w:name w:val="Grid Table 4 - Accent 6"/>
    <w:basedOn w:val="11"/>
    <w:uiPriority w:val="5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7">
    <w:name w:val="Grid Table 5 Dark"/>
    <w:basedOn w:val="11"/>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cPr>
      <w:tcBorders/>
    </w:tcPr>
    <w:tblStylePr w:type="band1Horz">
      <w:pPr>
        <w:pBdr/>
        <w:spacing/>
        <w:ind/>
      </w:pPr>
      <w:tblPr>
        <w:tblBorders/>
      </w:tblPr>
      <w:tcPr>
        <w:shd w:val="clear" w:color="ffffff" w:themeColor="text1" w:themeTint="75" w:fill="8a8a8a" w:themeFill="text1" w:themeFillTint="75"/>
        <w:tcBorders/>
      </w:tcPr>
    </w:tblStylePr>
    <w:tblStylePr w:type="band1Vert">
      <w:pPr>
        <w:pBdr/>
        <w:spacing/>
        <w:ind/>
      </w:pPr>
      <w:tblPr>
        <w:tblBorders/>
      </w:tblPr>
      <w:tcPr>
        <w:shd w:val="clear" w:color="ffffff"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text1" w:fill="000000" w:themeFill="text1"/>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rFonts w:ascii="Arial" w:hAnsi="Arial"/>
        <w:b/>
        <w:color w:val="ffffff"/>
        <w:sz w:val="22"/>
      </w:rPr>
      <w:pPr>
        <w:pBdr/>
        <w:spacing/>
        <w:ind/>
      </w:pPr>
      <w:tblPr>
        <w:tblBorders/>
      </w:tblPr>
      <w:tcPr>
        <w:shd w:val="clear" w:color="ffffff" w:themeColor="text1" w:fill="000000" w:themeFill="text1"/>
        <w:tcBorders/>
      </w:tcPr>
    </w:tblStylePr>
    <w:tblStylePr w:type="lastRow">
      <w:rPr>
        <w:rFonts w:ascii="Arial" w:hAnsi="Arial"/>
        <w:b/>
        <w:color w:val="ffffff"/>
        <w:sz w:val="22"/>
      </w:rPr>
      <w:pPr>
        <w:pBdr/>
        <w:spacing/>
        <w:ind/>
      </w:pPr>
      <w:tblPr>
        <w:tblBorders/>
      </w:tblPr>
      <w:tcPr>
        <w:shd w:val="clear" w:color="ffffff" w:themeColor="text1" w:fill="000000" w:themeFill="tex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8">
    <w:name w:val="Grid Table 5 Dark- Accent 1"/>
    <w:basedOn w:val="11"/>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be5f2" w:themeFill="accent1" w:themeFillTint="34"/>
    </w:tblPr>
    <w:tcPr>
      <w:tcBorders/>
    </w:tcPr>
    <w:tblStylePr w:type="band1Horz">
      <w:pPr>
        <w:pBdr/>
        <w:spacing/>
        <w:ind/>
      </w:pPr>
      <w:tblPr>
        <w:tblBorders/>
      </w:tblPr>
      <w:tcPr>
        <w:shd w:val="clear" w:color="ffffff" w:themeColor="accent1" w:themeTint="75" w:fill="aec5e1" w:themeFill="accent1" w:themeFillTint="75"/>
        <w:tcBorders/>
      </w:tcPr>
    </w:tblStylePr>
    <w:tblStylePr w:type="band1Vert">
      <w:pPr>
        <w:pBdr/>
        <w:spacing/>
        <w:ind/>
      </w:pPr>
      <w:tblPr>
        <w:tblBorders/>
      </w:tblPr>
      <w:tcPr>
        <w:shd w:val="clear" w:color="ffffff" w:themeColor="accent1" w:themeTint="75" w:fill="aec5e1"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1" w:fill="4f81bd" w:themeFill="accent1"/>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rFonts w:ascii="Arial" w:hAnsi="Arial"/>
        <w:b/>
        <w:color w:val="ffffff"/>
        <w:sz w:val="22"/>
      </w:rPr>
      <w:pPr>
        <w:pBdr/>
        <w:spacing/>
        <w:ind/>
      </w:pPr>
      <w:tblPr>
        <w:tblBorders/>
      </w:tblPr>
      <w:tcPr>
        <w:shd w:val="clear" w:color="ffffff" w:themeColor="accent1" w:fill="4f81bd" w:themeFill="accent1"/>
        <w:tcBorders/>
      </w:tcPr>
    </w:tblStylePr>
    <w:tblStylePr w:type="lastRow">
      <w:rPr>
        <w:rFonts w:ascii="Arial" w:hAnsi="Arial"/>
        <w:b/>
        <w:color w:val="ffffff"/>
        <w:sz w:val="22"/>
      </w:rPr>
      <w:pPr>
        <w:pBdr/>
        <w:spacing/>
        <w:ind/>
      </w:pPr>
      <w:tblPr>
        <w:tblBorders/>
      </w:tblPr>
      <w:tcPr>
        <w:shd w:val="clear" w:color="ffffff" w:themeColor="accent1" w:fill="4f81bd" w:themeFill="accen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9">
    <w:name w:val="Grid Table 5 Dark - Accent 2"/>
    <w:basedOn w:val="11"/>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3dddc" w:themeFill="accent2" w:themeFillTint="32"/>
    </w:tblPr>
    <w:tcPr>
      <w:tcBorders/>
    </w:tcPr>
    <w:tblStylePr w:type="band1Horz">
      <w:pPr>
        <w:pBdr/>
        <w:spacing/>
        <w:ind/>
      </w:pPr>
      <w:tblPr>
        <w:tblBorders/>
      </w:tblPr>
      <w:tcPr>
        <w:shd w:val="clear" w:color="ffffff" w:themeColor="accent2" w:themeTint="75" w:fill="e2afad" w:themeFill="accent2" w:themeFillTint="75"/>
        <w:tcBorders/>
      </w:tcPr>
    </w:tblStylePr>
    <w:tblStylePr w:type="band1Vert">
      <w:pPr>
        <w:pBdr/>
        <w:spacing/>
        <w:ind/>
      </w:pPr>
      <w:tblPr>
        <w:tblBorders/>
      </w:tblPr>
      <w:tcPr>
        <w:shd w:val="clear" w:color="ffffff" w:themeColor="accent2" w:themeTint="75" w:fill="e2afad"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c0504d" w:themeFill="accent2"/>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rFonts w:ascii="Arial" w:hAnsi="Arial"/>
        <w:b/>
        <w:color w:val="ffffff"/>
        <w:sz w:val="22"/>
      </w:rPr>
      <w:pPr>
        <w:pBdr/>
        <w:spacing/>
        <w:ind/>
      </w:pPr>
      <w:tblPr>
        <w:tblBorders/>
      </w:tblPr>
      <w:tcPr>
        <w:shd w:val="clear" w:color="ffffff" w:themeColor="accent2" w:fill="c0504d" w:themeFill="accent2"/>
        <w:tcBorders/>
      </w:tcPr>
    </w:tblStylePr>
    <w:tblStylePr w:type="lastRow">
      <w:rPr>
        <w:rFonts w:ascii="Arial" w:hAnsi="Arial"/>
        <w:b/>
        <w:color w:val="ffffff"/>
        <w:sz w:val="22"/>
      </w:rPr>
      <w:pPr>
        <w:pBdr/>
        <w:spacing/>
        <w:ind/>
      </w:pPr>
      <w:tblPr>
        <w:tblBorders/>
      </w:tblPr>
      <w:tcPr>
        <w:shd w:val="clear" w:color="ffffff" w:themeColor="accent2" w:fill="c0504d" w:themeFill="accent2"/>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0">
    <w:name w:val="Grid Table 5 Dark - Accent 3"/>
    <w:basedOn w:val="11"/>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bf1dd" w:themeFill="accent3" w:themeFillTint="34"/>
    </w:tblPr>
    <w:tcPr>
      <w:tcBorders/>
    </w:tcPr>
    <w:tblStylePr w:type="band1Horz">
      <w:pPr>
        <w:pBdr/>
        <w:spacing/>
        <w:ind/>
      </w:pPr>
      <w:tblPr>
        <w:tblBorders/>
      </w:tblPr>
      <w:tcPr>
        <w:shd w:val="clear" w:color="ffffff" w:themeColor="accent3" w:themeTint="75" w:fill="d1e0b3" w:themeFill="accent3" w:themeFillTint="75"/>
        <w:tcBorders/>
      </w:tcPr>
    </w:tblStylePr>
    <w:tblStylePr w:type="band1Vert">
      <w:pPr>
        <w:pBdr/>
        <w:spacing/>
        <w:ind/>
      </w:pPr>
      <w:tblPr>
        <w:tblBorders/>
      </w:tblPr>
      <w:tcPr>
        <w:shd w:val="clear" w:color="ffffff" w:themeColor="accent3" w:themeTint="75" w:fill="d1e0b3"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3" w:fill="9bbb59" w:themeFill="accent3"/>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rFonts w:ascii="Arial" w:hAnsi="Arial"/>
        <w:b/>
        <w:color w:val="ffffff"/>
        <w:sz w:val="22"/>
      </w:rPr>
      <w:pPr>
        <w:pBdr/>
        <w:spacing/>
        <w:ind/>
      </w:pPr>
      <w:tblPr>
        <w:tblBorders/>
      </w:tblPr>
      <w:tcPr>
        <w:shd w:val="clear" w:color="ffffff" w:themeColor="accent3" w:fill="9bbb59" w:themeFill="accent3"/>
        <w:tcBorders/>
      </w:tcPr>
    </w:tblStylePr>
    <w:tblStylePr w:type="lastRow">
      <w:rPr>
        <w:rFonts w:ascii="Arial" w:hAnsi="Arial"/>
        <w:b/>
        <w:color w:val="ffffff"/>
        <w:sz w:val="22"/>
      </w:rPr>
      <w:pPr>
        <w:pBdr/>
        <w:spacing/>
        <w:ind/>
      </w:pPr>
      <w:tblPr>
        <w:tblBorders/>
      </w:tblPr>
      <w:tcPr>
        <w:shd w:val="clear" w:color="ffffff" w:themeColor="accent3" w:fill="9bbb59" w:themeFill="accent3"/>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1">
    <w:name w:val="Grid Table 5 Dark- Accent 4"/>
    <w:basedOn w:val="11"/>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e5dfec" w:themeFill="accent4" w:themeFillTint="34"/>
    </w:tblPr>
    <w:tcPr>
      <w:tcBorders/>
    </w:tcPr>
    <w:tblStylePr w:type="band1Horz">
      <w:pPr>
        <w:pBdr/>
        <w:spacing/>
        <w:ind/>
      </w:pPr>
      <w:tblPr>
        <w:tblBorders/>
      </w:tblPr>
      <w:tcPr>
        <w:shd w:val="clear" w:color="ffffff" w:themeColor="accent4" w:themeTint="75" w:fill="c5b8d4" w:themeFill="accent4" w:themeFillTint="75"/>
        <w:tcBorders/>
      </w:tcPr>
    </w:tblStylePr>
    <w:tblStylePr w:type="band1Vert">
      <w:pPr>
        <w:pBdr/>
        <w:spacing/>
        <w:ind/>
      </w:pPr>
      <w:tblPr>
        <w:tblBorders/>
      </w:tblPr>
      <w:tcPr>
        <w:shd w:val="clear" w:color="ffffff" w:themeColor="accent4" w:themeTint="75" w:fill="c5b8d4"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4" w:fill="8064a2" w:themeFill="accent4"/>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rFonts w:ascii="Arial" w:hAnsi="Arial"/>
        <w:b/>
        <w:color w:val="ffffff"/>
        <w:sz w:val="22"/>
      </w:rPr>
      <w:pPr>
        <w:pBdr/>
        <w:spacing/>
        <w:ind/>
      </w:pPr>
      <w:tblPr>
        <w:tblBorders/>
      </w:tblPr>
      <w:tcPr>
        <w:shd w:val="clear" w:color="ffffff" w:themeColor="accent4" w:fill="8064a2" w:themeFill="accent4"/>
        <w:tcBorders/>
      </w:tcPr>
    </w:tblStylePr>
    <w:tblStylePr w:type="lastRow">
      <w:rPr>
        <w:rFonts w:ascii="Arial" w:hAnsi="Arial"/>
        <w:b/>
        <w:color w:val="ffffff"/>
        <w:sz w:val="22"/>
      </w:rPr>
      <w:pPr>
        <w:pBdr/>
        <w:spacing/>
        <w:ind/>
      </w:pPr>
      <w:tblPr>
        <w:tblBorders/>
      </w:tblPr>
      <w:tcPr>
        <w:shd w:val="clear" w:color="ffffff" w:themeColor="accent4" w:fill="8064a2" w:themeFill="accent4"/>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2">
    <w:name w:val="Grid Table 5 Dark - Accent 5"/>
    <w:basedOn w:val="11"/>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cPr>
      <w:tcBorders/>
    </w:tcPr>
    <w:tblStylePr w:type="band1Horz">
      <w:pPr>
        <w:pBdr/>
        <w:spacing/>
        <w:ind/>
      </w:pPr>
      <w:tblPr>
        <w:tblBorders/>
      </w:tblPr>
      <w:tcPr>
        <w:shd w:val="clear" w:color="ffffff" w:themeColor="accent5" w:themeTint="75" w:fill="acd9e5" w:themeFill="accent5" w:themeFillTint="75"/>
        <w:tcBorders/>
      </w:tcPr>
    </w:tblStylePr>
    <w:tblStylePr w:type="band1Vert">
      <w:pPr>
        <w:pBdr/>
        <w:spacing/>
        <w:ind/>
      </w:pPr>
      <w:tblPr>
        <w:tblBorders/>
      </w:tblPr>
      <w:tcPr>
        <w:shd w:val="clear" w:color="ffffff" w:themeColor="accent5" w:themeTint="75" w:fill="acd9e5"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5" w:fill="4bacc6" w:themeFill="accent5"/>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rFonts w:ascii="Arial" w:hAnsi="Arial"/>
        <w:b/>
        <w:color w:val="ffffff"/>
        <w:sz w:val="22"/>
      </w:rPr>
      <w:pPr>
        <w:pBdr/>
        <w:spacing/>
        <w:ind/>
      </w:pPr>
      <w:tblPr>
        <w:tblBorders/>
      </w:tblPr>
      <w:tcPr>
        <w:shd w:val="clear" w:color="ffffff" w:themeColor="accent5" w:fill="4bacc6" w:themeFill="accent5"/>
        <w:tcBorders/>
      </w:tcPr>
    </w:tblStylePr>
    <w:tblStylePr w:type="lastRow">
      <w:rPr>
        <w:rFonts w:ascii="Arial" w:hAnsi="Arial"/>
        <w:b/>
        <w:color w:val="ffffff"/>
        <w:sz w:val="22"/>
      </w:rPr>
      <w:pPr>
        <w:pBdr/>
        <w:spacing/>
        <w:ind/>
      </w:pPr>
      <w:tblPr>
        <w:tblBorders/>
      </w:tblPr>
      <w:tcPr>
        <w:shd w:val="clear" w:color="ffffff" w:themeColor="accent5" w:fill="4bacc6" w:themeFill="accent5"/>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3">
    <w:name w:val="Grid Table 5 Dark - Accent 6"/>
    <w:basedOn w:val="11"/>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ad9" w:themeFill="accent6" w:themeFillTint="34"/>
    </w:tblPr>
    <w:tcPr>
      <w:tcBorders/>
    </w:tcPr>
    <w:tblStylePr w:type="band1Horz">
      <w:pPr>
        <w:pBdr/>
        <w:spacing/>
        <w:ind/>
      </w:pPr>
      <w:tblPr>
        <w:tblBorders/>
      </w:tblPr>
      <w:tcPr>
        <w:shd w:val="clear" w:color="ffffff" w:themeColor="accent6" w:themeTint="75" w:fill="fbcfaa" w:themeFill="accent6" w:themeFillTint="75"/>
        <w:tcBorders/>
      </w:tcPr>
    </w:tblStylePr>
    <w:tblStylePr w:type="band1Vert">
      <w:pPr>
        <w:pBdr/>
        <w:spacing/>
        <w:ind/>
      </w:pPr>
      <w:tblPr>
        <w:tblBorders/>
      </w:tblPr>
      <w:tcPr>
        <w:shd w:val="clear" w:color="ffffff" w:themeColor="accent6" w:themeTint="75" w:fill="fbcfaa"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6" w:fill="f79646" w:themeFill="accent6"/>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rFonts w:ascii="Arial" w:hAnsi="Arial"/>
        <w:b/>
        <w:color w:val="ffffff"/>
        <w:sz w:val="22"/>
      </w:rPr>
      <w:pPr>
        <w:pBdr/>
        <w:spacing/>
        <w:ind/>
      </w:pPr>
      <w:tblPr>
        <w:tblBorders/>
      </w:tblPr>
      <w:tcPr>
        <w:shd w:val="clear" w:color="ffffff" w:themeColor="accent6" w:fill="f79646" w:themeFill="accent6"/>
        <w:tcBorders/>
      </w:tcPr>
    </w:tblStylePr>
    <w:tblStylePr w:type="lastRow">
      <w:rPr>
        <w:rFonts w:ascii="Arial" w:hAnsi="Arial"/>
        <w:b/>
        <w:color w:val="ffffff"/>
        <w:sz w:val="22"/>
      </w:rPr>
      <w:pPr>
        <w:pBdr/>
        <w:spacing/>
        <w:ind/>
      </w:pPr>
      <w:tblPr>
        <w:tblBorders/>
      </w:tblPr>
      <w:tcPr>
        <w:shd w:val="clear" w:color="ffffff" w:themeColor="accent6" w:fill="f79646" w:themeFill="accent6"/>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4">
    <w:name w:val="Grid Table 6 Colorful"/>
    <w:basedOn w:val="11"/>
    <w:uiPriority w:val="99"/>
    <w:pPr>
      <w:pBdr/>
      <w:spacing w:after="0" w:line="240" w:lineRule="auto"/>
      <w:ind/>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04040" w:themeColor="text1" w:themeTint="80" w:themeShade="95"/>
        <w:sz w:val="22"/>
      </w:rPr>
      <w:pPr>
        <w:pBdr/>
        <w:spacing/>
        <w:ind/>
      </w:pPr>
      <w:tblPr>
        <w:tblBorders/>
      </w:tblPr>
      <w:tcPr>
        <w:shd w:val="clear" w:color="ffffff" w:themeColor="text1" w:themeTint="34" w:fill="cbcbcb" w:themeFill="text1" w:themeFillTint="34"/>
        <w:tcBorders/>
      </w:tcPr>
    </w:tblStylePr>
    <w:tblStylePr w:type="band1Vert">
      <w:pPr>
        <w:pBdr/>
        <w:spacing/>
        <w:ind/>
      </w:pPr>
      <w:tblPr>
        <w:tblBorders/>
      </w:tblPr>
      <w:tcPr>
        <w:shd w:val="clear" w:color="ffffff" w:themeColor="text1" w:themeTint="34" w:fill="cbcbcb" w:themeFill="text1" w:themeFillTint="34"/>
        <w:tcBorders/>
      </w:tcPr>
    </w:tblStylePr>
    <w:tblStylePr w:type="band2Horz">
      <w:rPr>
        <w:rFonts w:ascii="Arial" w:hAnsi="Arial"/>
        <w:color w:val="404040"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4a4a4a" w:themeColor="text1" w:themeTint="80" w:themeShade="95"/>
      </w:rPr>
      <w:pPr>
        <w:pBdr/>
        <w:spacing/>
        <w:ind/>
      </w:pPr>
      <w:tblPr>
        <w:tblBorders/>
      </w:tblPr>
      <w:tcPr>
        <w:tcBorders/>
      </w:tcPr>
    </w:tblStylePr>
    <w:tblStylePr w:type="firstRow">
      <w:rPr>
        <w:b/>
        <w:color w:val="4a4a4a" w:themeColor="text1" w:themeTint="80" w:themeShade="95"/>
      </w:rPr>
      <w:pPr>
        <w:pBdr/>
        <w:spacing/>
        <w:ind/>
      </w:pPr>
      <w:tblPr>
        <w:tblBorders/>
      </w:tblPr>
      <w:tcPr>
        <w:tcBorders>
          <w:bottom w:val="single" w:color="000000" w:themeColor="text1" w:themeTint="80" w:sz="12" w:space="0"/>
        </w:tcBorders>
      </w:tcPr>
    </w:tblStylePr>
    <w:tblStylePr w:type="lastCol">
      <w:rPr>
        <w:b/>
        <w:color w:val="4a4a4a" w:themeColor="text1" w:themeTint="80" w:themeShade="95"/>
      </w:rPr>
      <w:pPr>
        <w:pBdr/>
        <w:spacing/>
        <w:ind/>
      </w:pPr>
      <w:tblPr>
        <w:tblBorders/>
      </w:tblPr>
      <w:tcPr>
        <w:tcBorders/>
      </w:tcPr>
    </w:tblStylePr>
    <w:tblStylePr w:type="lastRow">
      <w:rPr>
        <w:b/>
        <w:color w:val="4a4a4a"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text1" w:themeTint="80" w:themeShade="95"/>
        <w:sz w:val="22"/>
      </w:rPr>
      <w:pPr>
        <w:pBdr/>
        <w:spacing/>
        <w:ind/>
      </w:pPr>
      <w:tblPr>
        <w:tblBorders/>
      </w:tblPr>
      <w:tcPr>
        <w:tcBorders/>
      </w:tcPr>
    </w:tblStylePr>
  </w:style>
  <w:style w:type="table" w:styleId="55">
    <w:name w:val="Grid Table 6 Colorful - Accent 1"/>
    <w:basedOn w:val="11"/>
    <w:uiPriority w:val="99"/>
    <w:pPr>
      <w:pBdr/>
      <w:spacing w:after="0" w:line="240" w:lineRule="auto"/>
      <w:ind/>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404040"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404040"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e6da5" w:themeColor="accent1" w:themeTint="80" w:themeShade="95"/>
      </w:rPr>
      <w:pPr>
        <w:pBdr/>
        <w:spacing/>
        <w:ind/>
      </w:pPr>
      <w:tblPr>
        <w:tblBorders/>
      </w:tblPr>
      <w:tcPr>
        <w:tcBorders/>
      </w:tcPr>
    </w:tblStylePr>
    <w:tblStylePr w:type="firstRow">
      <w:rPr>
        <w:b/>
        <w:color w:val="3e6da5" w:themeColor="accent1" w:themeTint="80" w:themeShade="95"/>
      </w:rPr>
      <w:pPr>
        <w:pBdr/>
        <w:spacing/>
        <w:ind/>
      </w:pPr>
      <w:tblPr>
        <w:tblBorders/>
      </w:tblPr>
      <w:tcPr>
        <w:tcBorders>
          <w:bottom w:val="single" w:color="000000" w:themeColor="accent1" w:themeTint="80" w:sz="12" w:space="0"/>
        </w:tcBorders>
      </w:tcPr>
    </w:tblStylePr>
    <w:tblStylePr w:type="lastCol">
      <w:rPr>
        <w:b/>
        <w:color w:val="3e6da5" w:themeColor="accent1" w:themeTint="80" w:themeShade="95"/>
      </w:rPr>
      <w:pPr>
        <w:pBdr/>
        <w:spacing/>
        <w:ind/>
      </w:pPr>
      <w:tblPr>
        <w:tblBorders/>
      </w:tblPr>
      <w:tcPr>
        <w:tcBorders/>
      </w:tcPr>
    </w:tblStylePr>
    <w:tblStylePr w:type="lastRow">
      <w:rPr>
        <w:b/>
        <w:color w:val="3e6da5"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1" w:themeTint="80" w:themeShade="95"/>
        <w:sz w:val="22"/>
      </w:rPr>
      <w:pPr>
        <w:pBdr/>
        <w:spacing/>
        <w:ind/>
      </w:pPr>
      <w:tblPr>
        <w:tblBorders/>
      </w:tblPr>
      <w:tcPr>
        <w:tcBorders/>
      </w:tcPr>
    </w:tblStylePr>
  </w:style>
  <w:style w:type="table" w:styleId="56">
    <w:name w:val="Grid Table 6 Colorful - Accent 2"/>
    <w:basedOn w:val="11"/>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12"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2" w:themeTint="97" w:themeShade="95"/>
        <w:sz w:val="22"/>
      </w:rPr>
      <w:pPr>
        <w:pBdr/>
        <w:spacing/>
        <w:ind/>
      </w:pPr>
      <w:tblPr>
        <w:tblBorders/>
      </w:tblPr>
      <w:tcPr>
        <w:tcBorders/>
      </w:tcPr>
    </w:tblStylePr>
  </w:style>
  <w:style w:type="table" w:styleId="57">
    <w:name w:val="Grid Table 6 Colorful - Accent 3"/>
    <w:basedOn w:val="11"/>
    <w:uiPriority w:val="99"/>
    <w:pPr>
      <w:pBdr/>
      <w:spacing w:after="0" w:line="240" w:lineRule="auto"/>
      <w:ind/>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40404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d732f" w:themeColor="accent3" w:themeTint="FE" w:themeShade="95"/>
      </w:rPr>
      <w:pPr>
        <w:pBdr/>
        <w:spacing/>
        <w:ind/>
      </w:pPr>
      <w:tblPr>
        <w:tblBorders/>
      </w:tblPr>
      <w:tcPr>
        <w:tcBorders/>
      </w:tcPr>
    </w:tblStylePr>
    <w:tblStylePr w:type="firstRow">
      <w:rPr>
        <w:b/>
        <w:color w:val="5d732f" w:themeColor="accent3" w:themeTint="FE" w:themeShade="95"/>
      </w:rPr>
      <w:pPr>
        <w:pBdr/>
        <w:spacing/>
        <w:ind/>
      </w:pPr>
      <w:tblPr>
        <w:tblBorders/>
      </w:tblPr>
      <w:tcPr>
        <w:tcBorders>
          <w:bottom w:val="single" w:color="000000" w:themeColor="accent3" w:themeTint="FE" w:sz="12" w:space="0"/>
        </w:tcBorders>
      </w:tcPr>
    </w:tblStylePr>
    <w:tblStylePr w:type="lastCol">
      <w:rPr>
        <w:b/>
        <w:color w:val="5d732f" w:themeColor="accent3" w:themeTint="FE" w:themeShade="95"/>
      </w:rPr>
      <w:pPr>
        <w:pBdr/>
        <w:spacing/>
        <w:ind/>
      </w:pPr>
      <w:tblPr>
        <w:tblBorders/>
      </w:tblPr>
      <w:tcPr>
        <w:tcBorders/>
      </w:tcPr>
    </w:tblStylePr>
    <w:tblStylePr w:type="lastRow">
      <w:rPr>
        <w:b/>
        <w:color w:val="5d732f"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3" w:themeTint="FE" w:themeShade="95"/>
        <w:sz w:val="22"/>
      </w:rPr>
      <w:pPr>
        <w:pBdr/>
        <w:spacing/>
        <w:ind/>
      </w:pPr>
      <w:tblPr>
        <w:tblBorders/>
      </w:tblPr>
      <w:tcPr>
        <w:tcBorders/>
      </w:tcPr>
    </w:tblStylePr>
  </w:style>
  <w:style w:type="table" w:styleId="58">
    <w:name w:val="Grid Table 6 Colorful - Accent 4"/>
    <w:basedOn w:val="11"/>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12"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4" w:themeTint="9A" w:themeShade="95"/>
        <w:sz w:val="22"/>
      </w:rPr>
      <w:pPr>
        <w:pBdr/>
        <w:spacing/>
        <w:ind/>
      </w:pPr>
      <w:tblPr>
        <w:tblBorders/>
      </w:tblPr>
      <w:tcPr>
        <w:tcBorders/>
      </w:tcPr>
    </w:tblStylePr>
  </w:style>
  <w:style w:type="table" w:styleId="59">
    <w:name w:val="Grid Table 6 Colorful - Accent 5"/>
    <w:basedOn w:val="11"/>
    <w:uiPriority w:val="99"/>
    <w:pPr>
      <w:pBdr/>
      <w:spacing w:after="0" w:line="240" w:lineRule="auto"/>
      <w:ind/>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5"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60">
    <w:name w:val="Grid Table 6 Colorful - Accent 6"/>
    <w:basedOn w:val="11"/>
    <w:uiPriority w:val="99"/>
    <w:pPr>
      <w:pBdr/>
      <w:spacing w:after="0" w:line="240" w:lineRule="auto"/>
      <w:ind/>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6"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61">
    <w:name w:val="Grid Table 7 Colorful"/>
    <w:basedOn w:val="11"/>
    <w:uiPriority w:val="99"/>
    <w:pPr>
      <w:pBdr/>
      <w:spacing w:after="0" w:line="240" w:lineRule="auto"/>
      <w:ind/>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color="ffffff"/>
        <w:tcBorders>
          <w:top w:val="none"/>
          <w:left w:val="none"/>
          <w:bottom w:val="none"/>
          <w:right w:val="single" w:color="000000" w:themeColor="text1" w:themeTint="80" w:sz="4" w:space="0"/>
        </w:tcBorders>
      </w:tcPr>
    </w:tblStylePr>
    <w:tblStylePr w:type="fir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pPr>
        <w:pBdr/>
        <w:spacing/>
        <w:ind/>
      </w:pPr>
      <w:tblPr>
        <w:tblBorders/>
      </w:tblPr>
      <w:tcPr>
        <w:shd w:color="ffffff"/>
        <w:tcBorders>
          <w:top w:val="none"/>
          <w:left w:val="single" w:color="000000" w:themeColor="text1" w:themeTint="80" w:sz="4" w:space="0"/>
          <w:bottom w:val="none"/>
          <w:right w:val="none"/>
        </w:tcBorders>
      </w:tcPr>
    </w:tblStylePr>
    <w:tblStylePr w:type="la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2">
    <w:name w:val="Grid Table 7 Colorful - Accent 1"/>
    <w:basedOn w:val="11"/>
    <w:uiPriority w:val="99"/>
    <w:pPr>
      <w:pBdr/>
      <w:spacing w:after="0" w:line="240" w:lineRule="auto"/>
      <w:ind/>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3e6da5"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3e6da5"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e6da5" w:themeColor="accent1" w:themeTint="80" w:themeShade="95"/>
        <w:sz w:val="22"/>
      </w:rPr>
      <w:pPr>
        <w:pBdr/>
        <w:spacing/>
        <w:ind/>
        <w:jc w:val="right"/>
      </w:pPr>
      <w:tblPr>
        <w:tblBorders/>
      </w:tblPr>
      <w:tcPr>
        <w:shd w:color="ffffff"/>
        <w:tcBorders>
          <w:top w:val="none"/>
          <w:left w:val="none"/>
          <w:bottom w:val="none"/>
          <w:right w:val="single" w:color="000000" w:themeColor="accent1" w:themeTint="80" w:sz="4" w:space="0"/>
        </w:tcBorders>
      </w:tcPr>
    </w:tblStylePr>
    <w:tblStylePr w:type="fir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none"/>
          <w:left w:val="none"/>
          <w:bottom w:val="single" w:color="000000" w:themeColor="accent1" w:themeTint="80" w:sz="4" w:space="0"/>
          <w:right w:val="none"/>
        </w:tcBorders>
      </w:tcPr>
    </w:tblStylePr>
    <w:tblStylePr w:type="lastCol">
      <w:rPr>
        <w:rFonts w:ascii="Arial" w:hAnsi="Arial"/>
        <w:i/>
        <w:color w:val="3e6da5" w:themeColor="accent1" w:themeTint="80" w:themeShade="95"/>
        <w:sz w:val="22"/>
      </w:rPr>
      <w:pPr>
        <w:pBdr/>
        <w:spacing/>
        <w:ind/>
      </w:pPr>
      <w:tblPr>
        <w:tblBorders/>
      </w:tblPr>
      <w:tcPr>
        <w:shd w:color="ffffff"/>
        <w:tcBorders>
          <w:top w:val="none"/>
          <w:left w:val="single" w:color="000000" w:themeColor="accent1" w:themeTint="80" w:sz="4" w:space="0"/>
          <w:bottom w:val="none"/>
          <w:right w:val="none"/>
        </w:tcBorders>
      </w:tcPr>
    </w:tblStylePr>
    <w:tblStylePr w:type="la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single" w:color="000000" w:themeColor="accent1" w:themeTint="8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3">
    <w:name w:val="Grid Table 7 Colorful - Accent 2"/>
    <w:basedOn w:val="11"/>
    <w:uiPriority w:val="99"/>
    <w:pPr>
      <w:pBdr/>
      <w:spacing w:after="0" w:line="240" w:lineRule="auto"/>
      <w:ind/>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color="ffffff"/>
        <w:tcBorders>
          <w:top w:val="none"/>
          <w:left w:val="none"/>
          <w:bottom w:val="none"/>
          <w:right w:val="single" w:color="000000" w:themeColor="accent2" w:themeTint="97" w:sz="4" w:space="0"/>
        </w:tcBorders>
      </w:tcPr>
    </w:tblStylePr>
    <w:tblStylePr w:type="fir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9f3b38" w:themeColor="accent2" w:themeTint="97" w:themeShade="95"/>
        <w:sz w:val="22"/>
      </w:rPr>
      <w:pPr>
        <w:pBdr/>
        <w:spacing/>
        <w:ind/>
      </w:pPr>
      <w:tblPr>
        <w:tblBorders/>
      </w:tblPr>
      <w:tcPr>
        <w:shd w:color="ffffff"/>
        <w:tcBorders>
          <w:top w:val="none"/>
          <w:left w:val="single" w:color="000000" w:themeColor="accent2" w:themeTint="97" w:sz="4" w:space="0"/>
          <w:bottom w:val="none"/>
          <w:right w:val="none"/>
        </w:tcBorders>
      </w:tcPr>
    </w:tblStylePr>
    <w:tblStylePr w:type="la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4">
    <w:name w:val="Grid Table 7 Colorful - Accent 3"/>
    <w:basedOn w:val="11"/>
    <w:uiPriority w:val="99"/>
    <w:pPr>
      <w:pBdr/>
      <w:spacing w:after="0" w:line="240" w:lineRule="auto"/>
      <w:ind/>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5d732f"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5d732f"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d732f" w:themeColor="accent3" w:themeTint="FE" w:themeShade="95"/>
        <w:sz w:val="22"/>
      </w:rPr>
      <w:pPr>
        <w:pBdr/>
        <w:spacing/>
        <w:ind/>
        <w:jc w:val="right"/>
      </w:pPr>
      <w:tblPr>
        <w:tblBorders/>
      </w:tblPr>
      <w:tcPr>
        <w:shd w:color="ffffff"/>
        <w:tcBorders>
          <w:top w:val="none"/>
          <w:left w:val="none"/>
          <w:bottom w:val="none"/>
          <w:right w:val="single" w:color="000000" w:themeColor="accent3" w:themeTint="FE" w:sz="4" w:space="0"/>
        </w:tcBorders>
      </w:tcPr>
    </w:tblStylePr>
    <w:tblStylePr w:type="fir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none"/>
          <w:left w:val="none"/>
          <w:bottom w:val="single" w:color="000000" w:themeColor="accent3" w:themeTint="FE" w:sz="4" w:space="0"/>
          <w:right w:val="none"/>
        </w:tcBorders>
      </w:tcPr>
    </w:tblStylePr>
    <w:tblStylePr w:type="lastCol">
      <w:rPr>
        <w:rFonts w:ascii="Arial" w:hAnsi="Arial"/>
        <w:i/>
        <w:color w:val="5d732f" w:themeColor="accent3" w:themeTint="FE" w:themeShade="95"/>
        <w:sz w:val="22"/>
      </w:rPr>
      <w:pPr>
        <w:pBdr/>
        <w:spacing/>
        <w:ind/>
      </w:pPr>
      <w:tblPr>
        <w:tblBorders/>
      </w:tblPr>
      <w:tcPr>
        <w:shd w:color="ffffff"/>
        <w:tcBorders>
          <w:top w:val="none"/>
          <w:left w:val="single" w:color="000000" w:themeColor="accent3" w:themeTint="FE" w:sz="4" w:space="0"/>
          <w:bottom w:val="none"/>
          <w:right w:val="none"/>
        </w:tcBorders>
      </w:tcPr>
    </w:tblStylePr>
    <w:tblStylePr w:type="la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single" w:color="000000" w:themeColor="accent3" w:themeTint="FE"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5">
    <w:name w:val="Grid Table 7 Colorful - Accent 4"/>
    <w:basedOn w:val="11"/>
    <w:uiPriority w:val="99"/>
    <w:pPr>
      <w:pBdr/>
      <w:spacing w:after="0" w:line="240" w:lineRule="auto"/>
      <w:ind/>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color="ffffff"/>
        <w:tcBorders>
          <w:top w:val="none"/>
          <w:left w:val="none"/>
          <w:bottom w:val="none"/>
          <w:right w:val="single" w:color="000000" w:themeColor="accent4" w:themeTint="9A" w:sz="4" w:space="0"/>
        </w:tcBorders>
      </w:tcPr>
    </w:tblStylePr>
    <w:tblStylePr w:type="fir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674f84" w:themeColor="accent4" w:themeTint="9A" w:themeShade="95"/>
        <w:sz w:val="22"/>
      </w:rPr>
      <w:pPr>
        <w:pBdr/>
        <w:spacing/>
        <w:ind/>
      </w:pPr>
      <w:tblPr>
        <w:tblBorders/>
      </w:tblPr>
      <w:tcPr>
        <w:shd w:color="ffffff"/>
        <w:tcBorders>
          <w:top w:val="none"/>
          <w:left w:val="single" w:color="000000" w:themeColor="accent4" w:themeTint="9A" w:sz="4" w:space="0"/>
          <w:bottom w:val="none"/>
          <w:right w:val="none"/>
        </w:tcBorders>
      </w:tcPr>
    </w:tblStylePr>
    <w:tblStylePr w:type="la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6">
    <w:name w:val="Grid Table 7 Colorful - Accent 5"/>
    <w:basedOn w:val="11"/>
    <w:uiPriority w:val="99"/>
    <w:pPr>
      <w:pBdr/>
      <w:spacing w:after="0" w:line="240" w:lineRule="auto"/>
      <w:ind/>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266879"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266879"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66879" w:themeColor="accent5" w:themeShade="95"/>
        <w:sz w:val="22"/>
      </w:rPr>
      <w:pPr>
        <w:pBdr/>
        <w:spacing/>
        <w:ind/>
        <w:jc w:val="right"/>
      </w:pPr>
      <w:tblPr>
        <w:tblBorders/>
      </w:tblPr>
      <w:tcPr>
        <w:shd w:color="ffffff"/>
        <w:tcBorders>
          <w:top w:val="none"/>
          <w:left w:val="none"/>
          <w:bottom w:val="none"/>
          <w:right w:val="single" w:color="000000" w:themeColor="accent5" w:themeTint="90" w:sz="4" w:space="0"/>
        </w:tcBorders>
      </w:tcPr>
    </w:tblStylePr>
    <w:tblStylePr w:type="firstRow">
      <w:rPr>
        <w:rFonts w:ascii="Arial" w:hAnsi="Arial"/>
        <w:b/>
        <w:color w:val="266879" w:themeColor="accent5" w:themeShade="95"/>
        <w:sz w:val="22"/>
      </w:rPr>
      <w:pPr>
        <w:pBdr/>
        <w:spacing/>
        <w:ind/>
      </w:pPr>
      <w:tblPr>
        <w:tblBorders/>
      </w:tblPr>
      <w:tcPr>
        <w:shd w:val="clear" w:color="ffffff" w:themeColor="light1" w:fill="ffffff" w:themeFill="light1"/>
        <w:tcBorders>
          <w:top w:val="none"/>
          <w:left w:val="none"/>
          <w:bottom w:val="single" w:color="000000" w:themeColor="accent5" w:themeTint="90" w:sz="4" w:space="0"/>
          <w:right w:val="none"/>
        </w:tcBorders>
      </w:tcPr>
    </w:tblStylePr>
    <w:tblStylePr w:type="lastCol">
      <w:rPr>
        <w:rFonts w:ascii="Arial" w:hAnsi="Arial"/>
        <w:i/>
        <w:color w:val="266879" w:themeColor="accent5" w:themeShade="95"/>
        <w:sz w:val="22"/>
      </w:rPr>
      <w:pPr>
        <w:pBdr/>
        <w:spacing/>
        <w:ind/>
      </w:pPr>
      <w:tblPr>
        <w:tblBorders/>
      </w:tblPr>
      <w:tcPr>
        <w:shd w:color="ffffff"/>
        <w:tcBorders>
          <w:top w:val="none"/>
          <w:left w:val="single" w:color="000000" w:themeColor="accent5" w:themeTint="90" w:sz="4" w:space="0"/>
          <w:bottom w:val="none"/>
          <w:right w:val="none"/>
        </w:tcBorders>
      </w:tcPr>
    </w:tblStylePr>
    <w:tblStylePr w:type="lastRow">
      <w:rPr>
        <w:rFonts w:ascii="Arial" w:hAnsi="Arial"/>
        <w:b/>
        <w:color w:val="266879" w:themeColor="accent5" w:themeShade="95"/>
        <w:sz w:val="22"/>
      </w:rPr>
      <w:pPr>
        <w:pBdr/>
        <w:spacing/>
        <w:ind/>
      </w:pPr>
      <w:tblPr>
        <w:tblBorders/>
      </w:tblPr>
      <w:tcPr>
        <w:shd w:val="clear" w:color="ffffff" w:themeColor="light1" w:fill="ffffff" w:themeFill="light1"/>
        <w:tcBorders>
          <w:top w:val="single" w:color="000000" w:themeColor="accent5" w:themeTint="9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7">
    <w:name w:val="Grid Table 7 Colorful - Accent 6"/>
    <w:basedOn w:val="11"/>
    <w:uiPriority w:val="99"/>
    <w:pPr>
      <w:pBdr/>
      <w:spacing w:after="0" w:line="240" w:lineRule="auto"/>
      <w:ind/>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b25408" w:themeColor="accent6"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b25408"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b25408" w:themeColor="accent6" w:themeShade="95"/>
        <w:sz w:val="22"/>
      </w:rPr>
      <w:pPr>
        <w:pBdr/>
        <w:spacing/>
        <w:ind/>
        <w:jc w:val="right"/>
      </w:pPr>
      <w:tblPr>
        <w:tblBorders/>
      </w:tblPr>
      <w:tcPr>
        <w:shd w:color="ffffff"/>
        <w:tcBorders>
          <w:top w:val="none"/>
          <w:left w:val="none"/>
          <w:bottom w:val="none"/>
          <w:right w:val="single" w:color="000000" w:themeColor="accent6" w:themeTint="90" w:sz="4" w:space="0"/>
        </w:tcBorders>
      </w:tcPr>
    </w:tblStylePr>
    <w:tblStylePr w:type="firstRow">
      <w:rPr>
        <w:rFonts w:ascii="Arial" w:hAnsi="Arial"/>
        <w:b/>
        <w:color w:val="b25408" w:themeColor="accent6" w:themeShade="95"/>
        <w:sz w:val="22"/>
      </w:rPr>
      <w:pPr>
        <w:pBdr/>
        <w:spacing/>
        <w:ind/>
      </w:pPr>
      <w:tblPr>
        <w:tblBorders/>
      </w:tblPr>
      <w:tcPr>
        <w:shd w:val="clear" w:color="ffffff" w:themeColor="light1" w:fill="ffffff" w:themeFill="light1"/>
        <w:tcBorders>
          <w:top w:val="none"/>
          <w:left w:val="none"/>
          <w:bottom w:val="single" w:color="000000" w:themeColor="accent6" w:themeTint="90" w:sz="4" w:space="0"/>
          <w:right w:val="none"/>
        </w:tcBorders>
      </w:tcPr>
    </w:tblStylePr>
    <w:tblStylePr w:type="lastCol">
      <w:rPr>
        <w:rFonts w:ascii="Arial" w:hAnsi="Arial"/>
        <w:i/>
        <w:color w:val="b25408" w:themeColor="accent6" w:themeShade="95"/>
        <w:sz w:val="22"/>
      </w:rPr>
      <w:pPr>
        <w:pBdr/>
        <w:spacing/>
        <w:ind/>
      </w:pPr>
      <w:tblPr>
        <w:tblBorders/>
      </w:tblPr>
      <w:tcPr>
        <w:shd w:color="ffffff"/>
        <w:tcBorders>
          <w:top w:val="none"/>
          <w:left w:val="single" w:color="000000" w:themeColor="accent6" w:themeTint="90" w:sz="4" w:space="0"/>
          <w:bottom w:val="none"/>
          <w:right w:val="none"/>
        </w:tcBorders>
      </w:tcPr>
    </w:tblStylePr>
    <w:tblStylePr w:type="lastRow">
      <w:rPr>
        <w:rFonts w:ascii="Arial" w:hAnsi="Arial"/>
        <w:b/>
        <w:color w:val="b25408" w:themeColor="accent6" w:themeShade="95"/>
        <w:sz w:val="22"/>
      </w:rPr>
      <w:pPr>
        <w:pBdr/>
        <w:spacing/>
        <w:ind/>
      </w:pPr>
      <w:tblPr>
        <w:tblBorders/>
      </w:tblPr>
      <w:tcPr>
        <w:shd w:val="clear" w:color="ffffff" w:themeColor="light1" w:fill="ffffff" w:themeFill="light1"/>
        <w:tcBorders>
          <w:top w:val="single" w:color="000000" w:themeColor="accent6" w:themeTint="9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8">
    <w:name w:val="List Table 1 Light"/>
    <w:basedOn w:val="11"/>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9">
    <w:name w:val="List Table 1 Light - Accent 1"/>
    <w:basedOn w:val="11"/>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0">
    <w:name w:val="List Table 1 Light - Accent 2"/>
    <w:basedOn w:val="11"/>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
    <w:name w:val="List Table 1 Light - Accent 3"/>
    <w:basedOn w:val="11"/>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
    <w:name w:val="List Table 1 Light - Accent 4"/>
    <w:basedOn w:val="11"/>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
    <w:name w:val="List Table 1 Light - Accent 5"/>
    <w:basedOn w:val="11"/>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
    <w:name w:val="List Table 1 Light - Accent 6"/>
    <w:basedOn w:val="11"/>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
    <w:name w:val="List Table 2"/>
    <w:basedOn w:val="11"/>
    <w:uiPriority w:val="99"/>
    <w:pPr>
      <w:pBdr/>
      <w:spacing w:after="0" w:line="240" w:lineRule="auto"/>
      <w:ind/>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
    <w:name w:val="List Table 2 - Accent 1"/>
    <w:basedOn w:val="11"/>
    <w:uiPriority w:val="99"/>
    <w:pPr>
      <w:pBdr/>
      <w:spacing w:after="0" w:line="240" w:lineRule="auto"/>
      <w:ind/>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
    <w:name w:val="List Table 2 - Accent 2"/>
    <w:basedOn w:val="11"/>
    <w:uiPriority w:val="99"/>
    <w:pPr>
      <w:pBdr/>
      <w:spacing w:after="0" w:line="240" w:lineRule="auto"/>
      <w:ind/>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
    <w:name w:val="List Table 2 - Accent 3"/>
    <w:basedOn w:val="11"/>
    <w:uiPriority w:val="99"/>
    <w:pPr>
      <w:pBdr/>
      <w:spacing w:after="0" w:line="240" w:lineRule="auto"/>
      <w:ind/>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
    <w:name w:val="List Table 2 - Accent 4"/>
    <w:basedOn w:val="11"/>
    <w:uiPriority w:val="99"/>
    <w:pPr>
      <w:pBdr/>
      <w:spacing w:after="0" w:line="240" w:lineRule="auto"/>
      <w:ind/>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
    <w:name w:val="List Table 2 - Accent 5"/>
    <w:basedOn w:val="11"/>
    <w:uiPriority w:val="99"/>
    <w:pPr>
      <w:pBdr/>
      <w:spacing w:after="0" w:line="240" w:lineRule="auto"/>
      <w:ind/>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
    <w:name w:val="List Table 2 - Accent 6"/>
    <w:basedOn w:val="11"/>
    <w:uiPriority w:val="99"/>
    <w:pPr>
      <w:pBdr/>
      <w:spacing w:after="0" w:line="240" w:lineRule="auto"/>
      <w:ind/>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
    <w:name w:val="List Table 3"/>
    <w:basedOn w:val="11"/>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
    <w:name w:val="List Table 3 - Accent 1"/>
    <w:basedOn w:val="11"/>
    <w:uiPriority w:val="99"/>
    <w:pPr>
      <w:pBdr/>
      <w:spacing w:after="0" w:line="240" w:lineRule="auto"/>
      <w:ind/>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cPr>
      <w:tcBorders/>
    </w:tcPr>
    <w:tblStylePr w:type="band1Horz">
      <w:rPr>
        <w:rFonts w:ascii="Arial" w:hAnsi="Arial"/>
        <w:color w:val="404040"/>
        <w:sz w:val="22"/>
      </w:rPr>
      <w:pPr>
        <w:pBdr/>
        <w:spacing/>
        <w:ind/>
      </w:pPr>
      <w:tblPr>
        <w:tblBorders/>
      </w:tblPr>
      <w:tcPr>
        <w:tcBorders>
          <w:top w:val="single" w:color="000000" w:themeColor="accent1" w:sz="4" w:space="0"/>
          <w:bottom w:val="single" w:color="000000" w:themeColor="accent1" w:sz="4" w:space="0"/>
        </w:tcBorders>
      </w:tcPr>
    </w:tblStylePr>
    <w:tblStylePr w:type="band1Vert">
      <w:rPr>
        <w:rFonts w:ascii="Arial" w:hAnsi="Arial"/>
        <w:color w:val="404040"/>
        <w:sz w:val="22"/>
      </w:rPr>
      <w:pPr>
        <w:pBdr/>
        <w:spacing/>
        <w:ind/>
      </w:pPr>
      <w:tblPr>
        <w:tblBorders/>
      </w:tblPr>
      <w:tcPr>
        <w:tcBorders>
          <w:left w:val="single" w:color="000000" w:themeColor="accent1" w:sz="4" w:space="0"/>
          <w:right w:val="single" w:color="000000"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
    <w:name w:val="List Table 3 - Accent 2"/>
    <w:basedOn w:val="11"/>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pPr>
        <w:pBdr/>
        <w:spacing/>
        <w:ind/>
      </w:pPr>
      <w:tblPr>
        <w:tblBorders/>
      </w:tblPr>
      <w:tcPr>
        <w:tcBorders>
          <w:left w:val="single" w:color="000000" w:themeColor="accent2" w:themeTint="97" w:sz="4" w:space="0"/>
          <w:right w:val="single" w:color="000000"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
    <w:name w:val="List Table 3 - Accent 3"/>
    <w:basedOn w:val="11"/>
    <w:uiPriority w:val="99"/>
    <w:pPr>
      <w:pBdr/>
      <w:spacing w:after="0" w:line="240" w:lineRule="auto"/>
      <w:ind/>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pPr>
        <w:pBdr/>
        <w:spacing/>
        <w:ind/>
      </w:pPr>
      <w:tblPr>
        <w:tblBorders/>
      </w:tblPr>
      <w:tcPr>
        <w:tcBorders>
          <w:left w:val="single" w:color="000000" w:themeColor="accent3" w:themeTint="98" w:sz="4" w:space="0"/>
          <w:right w:val="single" w:color="000000"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98" w:fill="c3d69c"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
    <w:name w:val="List Table 3 - Accent 4"/>
    <w:basedOn w:val="11"/>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pPr>
        <w:pBdr/>
        <w:spacing/>
        <w:ind/>
      </w:pPr>
      <w:tblPr>
        <w:tblBorders/>
      </w:tblPr>
      <w:tcPr>
        <w:tcBorders>
          <w:left w:val="single" w:color="000000" w:themeColor="accent4" w:themeTint="9A" w:sz="4" w:space="0"/>
          <w:right w:val="single" w:color="000000"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
    <w:name w:val="List Table 3 - Accent 5"/>
    <w:basedOn w:val="11"/>
    <w:uiPriority w:val="99"/>
    <w:pPr>
      <w:pBdr/>
      <w:spacing w:after="0" w:line="240" w:lineRule="auto"/>
      <w:ind/>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pPr>
        <w:pBdr/>
        <w:spacing/>
        <w:ind/>
      </w:pPr>
      <w:tblPr>
        <w:tblBorders/>
      </w:tblPr>
      <w:tcPr>
        <w:tcBorders>
          <w:left w:val="single" w:color="000000" w:themeColor="accent5" w:themeTint="9A" w:sz="4" w:space="0"/>
          <w:right w:val="single" w:color="000000"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themeTint="9A" w:fill="92cddd"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
    <w:name w:val="List Table 3 - Accent 6"/>
    <w:basedOn w:val="11"/>
    <w:uiPriority w:val="99"/>
    <w:pPr>
      <w:pBdr/>
      <w:spacing w:after="0" w:line="240" w:lineRule="auto"/>
      <w:ind/>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pPr>
        <w:pBdr/>
        <w:spacing/>
        <w:ind/>
      </w:pPr>
      <w:tblPr>
        <w:tblBorders/>
      </w:tblPr>
      <w:tcPr>
        <w:tcBorders>
          <w:left w:val="single" w:color="000000" w:themeColor="accent6" w:themeTint="98" w:sz="4" w:space="0"/>
          <w:right w:val="single" w:color="000000"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themeTint="98" w:fill="fac091"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
    <w:name w:val="List Table 4"/>
    <w:basedOn w:val="11"/>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
    <w:name w:val="List Table 4 - Accent 1"/>
    <w:basedOn w:val="11"/>
    <w:uiPriority w:val="9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
    <w:name w:val="List Table 4 - Accent 2"/>
    <w:basedOn w:val="11"/>
    <w:uiPriority w:val="9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
    <w:name w:val="List Table 4 - Accent 3"/>
    <w:basedOn w:val="11"/>
    <w:uiPriority w:val="9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
    <w:name w:val="List Table 4 - Accent 4"/>
    <w:basedOn w:val="11"/>
    <w:uiPriority w:val="9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
    <w:name w:val="List Table 4 - Accent 5"/>
    <w:basedOn w:val="11"/>
    <w:uiPriority w:val="9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
    <w:name w:val="List Table 4 - Accent 6"/>
    <w:basedOn w:val="11"/>
    <w:uiPriority w:val="9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
    <w:name w:val="List Table 5 Dark"/>
    <w:basedOn w:val="11"/>
    <w:uiPriority w:val="99"/>
    <w:pPr>
      <w:pBdr/>
      <w:spacing w:after="0" w:line="240" w:lineRule="auto"/>
      <w:ind/>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cPr>
      <w:tcBorders/>
    </w:tcPr>
    <w:tblStylePr w:type="band1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7">
    <w:name w:val="List Table 5 Dark - Accent 1"/>
    <w:basedOn w:val="11"/>
    <w:uiPriority w:val="99"/>
    <w:pPr>
      <w:pBdr/>
      <w:spacing w:after="0" w:line="240" w:lineRule="auto"/>
      <w:ind/>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cPr>
      <w:tcBorders/>
    </w:tcPr>
    <w:tblStylePr w:type="band1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1" w:fill="4f81bd" w:themeFill="accent1"/>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1" w:fill="4f81bd" w:themeFill="accent1"/>
        <w:tcBorders>
          <w:top w:val="single" w:color="000000" w:themeColor="accent1"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8">
    <w:name w:val="List Table 5 Dark - Accent 2"/>
    <w:basedOn w:val="11"/>
    <w:uiPriority w:val="99"/>
    <w:pPr>
      <w:pBdr/>
      <w:spacing w:after="0" w:line="240" w:lineRule="auto"/>
      <w:ind/>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a9796" w:themeFill="accent2" w:themeFillTint="97"/>
    </w:tblPr>
    <w:tcPr>
      <w:tcBorders/>
    </w:tcPr>
    <w:tblStylePr w:type="band1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2" w:themeTint="97" w:fill="da9796" w:themeFill="accent2" w:themeFillTint="97"/>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da9796" w:themeFill="accent2" w:themeFillTint="97"/>
        <w:tcBorders>
          <w:top w:val="single" w:color="000000" w:themeColor="accent2" w:themeTint="97"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9">
    <w:name w:val="List Table 5 Dark - Accent 3"/>
    <w:basedOn w:val="11"/>
    <w:uiPriority w:val="99"/>
    <w:pPr>
      <w:pBdr/>
      <w:spacing w:after="0" w:line="240" w:lineRule="auto"/>
      <w:ind/>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c" w:themeFill="accent3" w:themeFillTint="98"/>
    </w:tblPr>
    <w:tcPr>
      <w:tcBorders/>
    </w:tcPr>
    <w:tblStylePr w:type="band1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3" w:themeTint="98" w:fill="c3d69c" w:themeFill="accent3"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3" w:themeTint="98" w:fill="c3d69c" w:themeFill="accent3" w:themeFillTint="98"/>
        <w:tcBorders>
          <w:top w:val="single" w:color="000000" w:themeColor="accent3"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00">
    <w:name w:val="List Table 5 Dark - Accent 4"/>
    <w:basedOn w:val="11"/>
    <w:uiPriority w:val="99"/>
    <w:pPr>
      <w:pBdr/>
      <w:spacing w:after="0" w:line="240" w:lineRule="auto"/>
      <w:ind/>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7" w:themeFill="accent4" w:themeFillTint="9A"/>
    </w:tblPr>
    <w:tcPr>
      <w:tcBorders/>
    </w:tcPr>
    <w:tblStylePr w:type="band1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4" w:themeTint="9A" w:fill="b2a1c7" w:themeFill="accent4"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4" w:themeTint="9A" w:fill="b2a1c7" w:themeFill="accent4" w:themeFillTint="9A"/>
        <w:tcBorders>
          <w:top w:val="single" w:color="000000" w:themeColor="accent4"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01">
    <w:name w:val="List Table 5 Dark - Accent 5"/>
    <w:basedOn w:val="11"/>
    <w:uiPriority w:val="99"/>
    <w:pPr>
      <w:pBdr/>
      <w:spacing w:after="0" w:line="240" w:lineRule="auto"/>
      <w:ind/>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2cddd" w:themeFill="accent5" w:themeFillTint="9A"/>
    </w:tblPr>
    <w:tcPr>
      <w:tcBorders/>
    </w:tcPr>
    <w:tblStylePr w:type="band1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5" w:themeTint="9A" w:fill="92cddd" w:themeFill="accent5"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5" w:themeTint="9A" w:fill="92cddd" w:themeFill="accent5" w:themeFillTint="9A"/>
        <w:tcBorders>
          <w:top w:val="single" w:color="000000" w:themeColor="accent5"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02">
    <w:name w:val="List Table 5 Dark - Accent 6"/>
    <w:basedOn w:val="11"/>
    <w:uiPriority w:val="99"/>
    <w:pPr>
      <w:pBdr/>
      <w:spacing w:after="0" w:line="240" w:lineRule="auto"/>
      <w:ind/>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ac091" w:themeFill="accent6" w:themeFillTint="98"/>
    </w:tblPr>
    <w:tcPr>
      <w:tcBorders/>
    </w:tcPr>
    <w:tblStylePr w:type="band1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6" w:themeTint="98" w:fill="fac091" w:themeFill="accent6"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6" w:themeTint="98" w:fill="fac091" w:themeFill="accent6" w:themeFillTint="98"/>
        <w:tcBorders>
          <w:top w:val="single" w:color="000000" w:themeColor="accent6"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03">
    <w:name w:val="List Table 6 Colorful"/>
    <w:basedOn w:val="11"/>
    <w:uiPriority w:val="99"/>
    <w:pPr>
      <w:pBdr/>
      <w:spacing w:after="0" w:line="240" w:lineRule="auto"/>
      <w:ind/>
    </w:pPr>
    <w:tblPr>
      <w:tblStyleRowBandSize w:val="1"/>
      <w:tblStyleColBandSize w:val="1"/>
      <w:tblInd w:w="0" w:type="dxa"/>
      <w:tblBorders>
        <w:top w:val="single" w:color="000000" w:themeColor="text1" w:themeTint="80" w:sz="4" w:space="0"/>
        <w:bottom w:val="single" w:color="000000" w:themeColor="text1" w:themeTint="80" w:sz="4" w:space="0"/>
      </w:tblBorders>
    </w:tblPr>
    <w:tcPr>
      <w:tcBorders/>
    </w:tcPr>
    <w:tblStylePr w:type="band1Horz">
      <w:rPr>
        <w:rFonts w:ascii="Arial" w:hAnsi="Arial"/>
        <w:color w:val="404040" w:themeColor="text1"/>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0404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000000"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000000"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4">
    <w:name w:val="List Table 6 Colorful - Accent 1"/>
    <w:basedOn w:val="11"/>
    <w:uiPriority w:val="99"/>
    <w:pPr>
      <w:pBdr/>
      <w:spacing w:after="0" w:line="240" w:lineRule="auto"/>
      <w:ind/>
    </w:pPr>
    <w:tblPr>
      <w:tblStyleRowBandSize w:val="1"/>
      <w:tblStyleColBandSize w:val="1"/>
      <w:tblInd w:w="0" w:type="dxa"/>
      <w:tblBorders>
        <w:top w:val="single" w:color="000000" w:themeColor="accent1" w:sz="4" w:space="0"/>
        <w:bottom w:val="single" w:color="000000" w:themeColor="accent1" w:sz="4" w:space="0"/>
      </w:tblBorders>
    </w:tblPr>
    <w:tcPr>
      <w:tcBorders/>
    </w:tcPr>
    <w:tblStylePr w:type="band1Horz">
      <w:rPr>
        <w:rFonts w:ascii="Arial" w:hAnsi="Arial"/>
        <w:color w:val="404040"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404040"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b4b72" w:themeColor="accent1" w:themeShade="95"/>
      </w:rPr>
      <w:pPr>
        <w:pBdr/>
        <w:spacing/>
        <w:ind/>
      </w:pPr>
      <w:tblPr>
        <w:tblBorders/>
      </w:tblPr>
      <w:tcPr>
        <w:tcBorders/>
      </w:tcPr>
    </w:tblStylePr>
    <w:tblStylePr w:type="firstRow">
      <w:rPr>
        <w:b/>
        <w:color w:val="2b4b72" w:themeColor="accent1" w:themeShade="95"/>
      </w:rPr>
      <w:pPr>
        <w:pBdr/>
        <w:spacing/>
        <w:ind/>
      </w:pPr>
      <w:tblPr>
        <w:tblBorders/>
      </w:tblPr>
      <w:tcPr>
        <w:tcBorders>
          <w:bottom w:val="single" w:color="000000" w:themeColor="accent1" w:sz="4" w:space="0"/>
        </w:tcBorders>
      </w:tcPr>
    </w:tblStylePr>
    <w:tblStylePr w:type="lastCol">
      <w:rPr>
        <w:b/>
        <w:color w:val="2b4b72" w:themeColor="accent1" w:themeShade="95"/>
      </w:rPr>
      <w:pPr>
        <w:pBdr/>
        <w:spacing/>
        <w:ind/>
      </w:pPr>
      <w:tblPr>
        <w:tblBorders/>
      </w:tblPr>
      <w:tcPr>
        <w:tcBorders/>
      </w:tcPr>
    </w:tblStylePr>
    <w:tblStylePr w:type="lastRow">
      <w:rPr>
        <w:b/>
        <w:color w:val="2b4b72" w:themeColor="accent1" w:themeShade="95"/>
      </w:rPr>
      <w:pPr>
        <w:pBdr/>
        <w:spacing/>
        <w:ind/>
      </w:pPr>
      <w:tblPr>
        <w:tblBorders/>
      </w:tblPr>
      <w:tcPr>
        <w:tcBorders>
          <w:top w:val="single" w:color="000000"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5">
    <w:name w:val="List Table 6 Colorful - Accent 2"/>
    <w:basedOn w:val="11"/>
    <w:uiPriority w:val="99"/>
    <w:pPr>
      <w:pBdr/>
      <w:spacing w:after="0" w:line="240" w:lineRule="auto"/>
      <w:ind/>
    </w:pPr>
    <w:tblPr>
      <w:tblStyleRowBandSize w:val="1"/>
      <w:tblStyleColBandSize w:val="1"/>
      <w:tblInd w:w="0" w:type="dxa"/>
      <w:tblBorders>
        <w:top w:val="single" w:color="000000" w:themeColor="accent2" w:themeTint="97" w:sz="4" w:space="0"/>
        <w:bottom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4"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6">
    <w:name w:val="List Table 6 Colorful - Accent 3"/>
    <w:basedOn w:val="11"/>
    <w:uiPriority w:val="99"/>
    <w:pPr>
      <w:pBdr/>
      <w:spacing w:after="0" w:line="240" w:lineRule="auto"/>
      <w:ind/>
    </w:pPr>
    <w:tblPr>
      <w:tblStyleRowBandSize w:val="1"/>
      <w:tblStyleColBandSize w:val="1"/>
      <w:tblInd w:w="0" w:type="dxa"/>
      <w:tblBorders>
        <w:top w:val="single" w:color="000000" w:themeColor="accent3" w:themeTint="98" w:sz="4" w:space="0"/>
        <w:bottom w:val="single" w:color="000000" w:themeColor="accent3" w:themeTint="98" w:sz="4" w:space="0"/>
      </w:tblBorders>
    </w:tblPr>
    <w:tcPr>
      <w:tcBorders/>
    </w:tcPr>
    <w:tblStylePr w:type="band1Horz">
      <w:rPr>
        <w:rFonts w:ascii="Arial" w:hAnsi="Arial"/>
        <w:color w:val="404040"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404040"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c9a3f" w:themeColor="accent3" w:themeTint="98" w:themeShade="95"/>
      </w:rPr>
      <w:pPr>
        <w:pBdr/>
        <w:spacing/>
        <w:ind/>
      </w:pPr>
      <w:tblPr>
        <w:tblBorders/>
      </w:tblPr>
      <w:tcPr>
        <w:tcBorders/>
      </w:tcPr>
    </w:tblStylePr>
    <w:tblStylePr w:type="firstRow">
      <w:rPr>
        <w:b/>
        <w:color w:val="7c9a3f" w:themeColor="accent3" w:themeTint="98" w:themeShade="95"/>
      </w:rPr>
      <w:pPr>
        <w:pBdr/>
        <w:spacing/>
        <w:ind/>
      </w:pPr>
      <w:tblPr>
        <w:tblBorders/>
      </w:tblPr>
      <w:tcPr>
        <w:tcBorders>
          <w:bottom w:val="single" w:color="000000" w:themeColor="accent3" w:themeTint="98" w:sz="4" w:space="0"/>
        </w:tcBorders>
      </w:tcPr>
    </w:tblStylePr>
    <w:tblStylePr w:type="lastCol">
      <w:rPr>
        <w:b/>
        <w:color w:val="7c9a3f" w:themeColor="accent3" w:themeTint="98" w:themeShade="95"/>
      </w:rPr>
      <w:pPr>
        <w:pBdr/>
        <w:spacing/>
        <w:ind/>
      </w:pPr>
      <w:tblPr>
        <w:tblBorders/>
      </w:tblPr>
      <w:tcPr>
        <w:tcBorders/>
      </w:tcPr>
    </w:tblStylePr>
    <w:tblStylePr w:type="lastRow">
      <w:rPr>
        <w:b/>
        <w:color w:val="7c9a3f" w:themeColor="accent3" w:themeTint="98" w:themeShade="95"/>
      </w:rPr>
      <w:pPr>
        <w:pBdr/>
        <w:spacing/>
        <w:ind/>
      </w:pPr>
      <w:tblPr>
        <w:tblBorders/>
      </w:tblPr>
      <w:tcPr>
        <w:tcBorders>
          <w:top w:val="single" w:color="000000"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7">
    <w:name w:val="List Table 6 Colorful - Accent 4"/>
    <w:basedOn w:val="11"/>
    <w:uiPriority w:val="99"/>
    <w:pPr>
      <w:pBdr/>
      <w:spacing w:after="0" w:line="240" w:lineRule="auto"/>
      <w:ind/>
    </w:pPr>
    <w:tblPr>
      <w:tblStyleRowBandSize w:val="1"/>
      <w:tblStyleColBandSize w:val="1"/>
      <w:tblInd w:w="0" w:type="dxa"/>
      <w:tblBorders>
        <w:top w:val="single" w:color="000000" w:themeColor="accent4" w:themeTint="9A" w:sz="4" w:space="0"/>
        <w:bottom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4"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8">
    <w:name w:val="List Table 6 Colorful - Accent 5"/>
    <w:basedOn w:val="11"/>
    <w:uiPriority w:val="99"/>
    <w:pPr>
      <w:pBdr/>
      <w:spacing w:after="0" w:line="240" w:lineRule="auto"/>
      <w:ind/>
    </w:pPr>
    <w:tblPr>
      <w:tblStyleRowBandSize w:val="1"/>
      <w:tblStyleColBandSize w:val="1"/>
      <w:tblInd w:w="0" w:type="dxa"/>
      <w:tblBorders>
        <w:top w:val="single" w:color="000000" w:themeColor="accent5" w:themeTint="9A" w:sz="4" w:space="0"/>
        <w:bottom w:val="single" w:color="000000" w:themeColor="accent5" w:themeTint="9A" w:sz="4" w:space="0"/>
      </w:tblBorders>
    </w:tblPr>
    <w:tcPr>
      <w:tcBorders/>
    </w:tcPr>
    <w:tblStylePr w:type="band1Horz">
      <w:rPr>
        <w:rFonts w:ascii="Arial" w:hAnsi="Arial"/>
        <w:color w:val="404040"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40404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48ba3" w:themeColor="accent5" w:themeTint="9A" w:themeShade="95"/>
      </w:rPr>
      <w:pPr>
        <w:pBdr/>
        <w:spacing/>
        <w:ind/>
      </w:pPr>
      <w:tblPr>
        <w:tblBorders/>
      </w:tblPr>
      <w:tcPr>
        <w:tcBorders/>
      </w:tcPr>
    </w:tblStylePr>
    <w:tblStylePr w:type="firstRow">
      <w:rPr>
        <w:b/>
        <w:color w:val="348ba3" w:themeColor="accent5" w:themeTint="9A" w:themeShade="95"/>
      </w:rPr>
      <w:pPr>
        <w:pBdr/>
        <w:spacing/>
        <w:ind/>
      </w:pPr>
      <w:tblPr>
        <w:tblBorders/>
      </w:tblPr>
      <w:tcPr>
        <w:tcBorders>
          <w:bottom w:val="single" w:color="000000" w:themeColor="accent5" w:themeTint="9A" w:sz="4" w:space="0"/>
        </w:tcBorders>
      </w:tcPr>
    </w:tblStylePr>
    <w:tblStylePr w:type="lastCol">
      <w:rPr>
        <w:b/>
        <w:color w:val="348ba3" w:themeColor="accent5" w:themeTint="9A" w:themeShade="95"/>
      </w:rPr>
      <w:pPr>
        <w:pBdr/>
        <w:spacing/>
        <w:ind/>
      </w:pPr>
      <w:tblPr>
        <w:tblBorders/>
      </w:tblPr>
      <w:tcPr>
        <w:tcBorders/>
      </w:tcPr>
    </w:tblStylePr>
    <w:tblStylePr w:type="lastRow">
      <w:rPr>
        <w:b/>
        <w:color w:val="348ba3" w:themeColor="accent5" w:themeTint="9A" w:themeShade="95"/>
      </w:rPr>
      <w:pPr>
        <w:pBdr/>
        <w:spacing/>
        <w:ind/>
      </w:pPr>
      <w:tblPr>
        <w:tblBorders/>
      </w:tblPr>
      <w:tcPr>
        <w:tcBorders>
          <w:top w:val="single" w:color="000000"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9">
    <w:name w:val="List Table 6 Colorful - Accent 6"/>
    <w:basedOn w:val="11"/>
    <w:uiPriority w:val="99"/>
    <w:pPr>
      <w:pBdr/>
      <w:spacing w:after="0" w:line="240" w:lineRule="auto"/>
      <w:ind/>
    </w:pPr>
    <w:tblPr>
      <w:tblStyleRowBandSize w:val="1"/>
      <w:tblStyleColBandSize w:val="1"/>
      <w:tblInd w:w="0" w:type="dxa"/>
      <w:tblBorders>
        <w:top w:val="single" w:color="000000" w:themeColor="accent6" w:themeTint="98" w:sz="4" w:space="0"/>
        <w:bottom w:val="single" w:color="000000" w:themeColor="accent6" w:themeTint="98" w:sz="4" w:space="0"/>
      </w:tblBorders>
    </w:tblPr>
    <w:tcPr>
      <w:tcBorders/>
    </w:tcPr>
    <w:tblStylePr w:type="band1Horz">
      <w:rPr>
        <w:rFonts w:ascii="Arial" w:hAnsi="Arial"/>
        <w:color w:val="404040"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404040"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d690a" w:themeColor="accent6" w:themeTint="98" w:themeShade="95"/>
      </w:rPr>
      <w:pPr>
        <w:pBdr/>
        <w:spacing/>
        <w:ind/>
      </w:pPr>
      <w:tblPr>
        <w:tblBorders/>
      </w:tblPr>
      <w:tcPr>
        <w:tcBorders/>
      </w:tcPr>
    </w:tblStylePr>
    <w:tblStylePr w:type="firstRow">
      <w:rPr>
        <w:b/>
        <w:color w:val="dd690a" w:themeColor="accent6" w:themeTint="98" w:themeShade="95"/>
      </w:rPr>
      <w:pPr>
        <w:pBdr/>
        <w:spacing/>
        <w:ind/>
      </w:pPr>
      <w:tblPr>
        <w:tblBorders/>
      </w:tblPr>
      <w:tcPr>
        <w:tcBorders>
          <w:bottom w:val="single" w:color="000000" w:themeColor="accent6" w:themeTint="98" w:sz="4" w:space="0"/>
        </w:tcBorders>
      </w:tcPr>
    </w:tblStylePr>
    <w:tblStylePr w:type="lastCol">
      <w:rPr>
        <w:b/>
        <w:color w:val="dd690a" w:themeColor="accent6" w:themeTint="98" w:themeShade="95"/>
      </w:rPr>
      <w:pPr>
        <w:pBdr/>
        <w:spacing/>
        <w:ind/>
      </w:pPr>
      <w:tblPr>
        <w:tblBorders/>
      </w:tblPr>
      <w:tcPr>
        <w:tcBorders/>
      </w:tcPr>
    </w:tblStylePr>
    <w:tblStylePr w:type="lastRow">
      <w:rPr>
        <w:b/>
        <w:color w:val="dd690a" w:themeColor="accent6" w:themeTint="98" w:themeShade="95"/>
      </w:rPr>
      <w:pPr>
        <w:pBdr/>
        <w:spacing/>
        <w:ind/>
      </w:pPr>
      <w:tblPr>
        <w:tblBorders/>
      </w:tblPr>
      <w:tcPr>
        <w:tcBorders>
          <w:top w:val="single" w:color="000000"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0">
    <w:name w:val="List Table 7 Colorful"/>
    <w:basedOn w:val="11"/>
    <w:uiPriority w:val="99"/>
    <w:pPr>
      <w:pBdr/>
      <w:spacing w:after="0" w:line="240" w:lineRule="auto"/>
      <w:ind/>
    </w:pPr>
    <w:tblPr>
      <w:tblStyleRowBandSize w:val="1"/>
      <w:tblStyleColBandSize w:val="1"/>
      <w:tblInd w:w="0" w:type="dxa"/>
      <w:tblBorders>
        <w:right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color="ffffff"/>
        <w:tcBorders>
          <w:top w:val="none"/>
          <w:left w:val="none"/>
          <w:bottom w:val="none"/>
          <w:right w:val="single" w:color="000000" w:themeColor="text1" w:themeTint="80" w:sz="4" w:space="0"/>
        </w:tcBorders>
      </w:tcPr>
    </w:tblStylePr>
    <w:tblStylePr w:type="fir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pPr>
        <w:pBdr/>
        <w:spacing/>
        <w:ind/>
      </w:pPr>
      <w:tblPr>
        <w:tblBorders/>
      </w:tblPr>
      <w:tcPr>
        <w:shd w:color="ffffff"/>
        <w:tcBorders>
          <w:top w:val="none"/>
          <w:left w:val="single" w:color="000000" w:themeColor="text1" w:themeTint="80" w:sz="4" w:space="0"/>
          <w:bottom w:val="none"/>
          <w:right w:val="none"/>
        </w:tcBorders>
      </w:tcPr>
    </w:tblStylePr>
    <w:tblStylePr w:type="la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a4a4a" w:themeColor="text1" w:themeTint="80" w:themeShade="95"/>
        <w:sz w:val="22"/>
      </w:rPr>
      <w:pPr>
        <w:pBdr/>
        <w:spacing/>
        <w:ind/>
      </w:pPr>
      <w:tblPr>
        <w:tblBorders/>
      </w:tblPr>
      <w:tcPr>
        <w:tcBorders/>
      </w:tcPr>
    </w:tblStylePr>
  </w:style>
  <w:style w:type="table" w:styleId="111">
    <w:name w:val="List Table 7 Colorful - Accent 1"/>
    <w:basedOn w:val="11"/>
    <w:uiPriority w:val="99"/>
    <w:pPr>
      <w:pBdr/>
      <w:spacing w:after="0" w:line="240" w:lineRule="auto"/>
      <w:ind/>
    </w:pPr>
    <w:tblPr>
      <w:tblStyleRowBandSize w:val="1"/>
      <w:tblStyleColBandSize w:val="1"/>
      <w:tblInd w:w="0" w:type="dxa"/>
      <w:tblBorders>
        <w:right w:val="single" w:color="000000" w:themeColor="accent1" w:sz="4" w:space="0"/>
      </w:tblBorders>
    </w:tblPr>
    <w:tcPr>
      <w:tcBorders/>
    </w:tcPr>
    <w:tblStylePr w:type="band1Horz">
      <w:rPr>
        <w:rFonts w:ascii="Arial" w:hAnsi="Arial"/>
        <w:color w:val="2b4b72"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2b4b72"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b4b72" w:themeColor="accent1" w:themeShade="95"/>
        <w:sz w:val="22"/>
      </w:rPr>
      <w:pPr>
        <w:pBdr/>
        <w:spacing/>
        <w:ind/>
        <w:jc w:val="right"/>
      </w:pPr>
      <w:tblPr>
        <w:tblBorders/>
      </w:tblPr>
      <w:tcPr>
        <w:shd w:color="ffffff"/>
        <w:tcBorders>
          <w:top w:val="none"/>
          <w:left w:val="none"/>
          <w:bottom w:val="none"/>
          <w:right w:val="single" w:color="000000" w:themeColor="accent1" w:sz="4" w:space="0"/>
        </w:tcBorders>
      </w:tcPr>
    </w:tblStylePr>
    <w:tblStylePr w:type="firstRow">
      <w:rPr>
        <w:rFonts w:ascii="Arial" w:hAnsi="Arial"/>
        <w:i/>
        <w:color w:val="2b4b72" w:themeColor="accent1" w:themeShade="95"/>
        <w:sz w:val="22"/>
      </w:rPr>
      <w:pPr>
        <w:pBdr/>
        <w:spacing/>
        <w:ind/>
      </w:pPr>
      <w:tblPr>
        <w:tblBorders/>
      </w:tblPr>
      <w:tcPr>
        <w:shd w:val="clear" w:color="ffffff" w:themeColor="light1" w:fill="ffffff" w:themeFill="light1"/>
        <w:tcBorders>
          <w:top w:val="none"/>
          <w:left w:val="none"/>
          <w:bottom w:val="single" w:color="000000" w:themeColor="accent1" w:sz="4" w:space="0"/>
          <w:right w:val="none"/>
        </w:tcBorders>
      </w:tcPr>
    </w:tblStylePr>
    <w:tblStylePr w:type="lastCol">
      <w:rPr>
        <w:rFonts w:ascii="Arial" w:hAnsi="Arial"/>
        <w:i/>
        <w:color w:val="2b4b72" w:themeColor="accent1" w:themeShade="95"/>
        <w:sz w:val="22"/>
      </w:rPr>
      <w:pPr>
        <w:pBdr/>
        <w:spacing/>
        <w:ind/>
      </w:pPr>
      <w:tblPr>
        <w:tblBorders/>
      </w:tblPr>
      <w:tcPr>
        <w:shd w:color="ffffff"/>
        <w:tcBorders>
          <w:top w:val="none"/>
          <w:left w:val="single" w:color="000000" w:themeColor="accent1" w:sz="4" w:space="0"/>
          <w:bottom w:val="none"/>
          <w:right w:val="none"/>
        </w:tcBorders>
      </w:tcPr>
    </w:tblStylePr>
    <w:tblStylePr w:type="lastRow">
      <w:rPr>
        <w:rFonts w:ascii="Arial" w:hAnsi="Arial"/>
        <w:i/>
        <w:color w:val="2b4b72" w:themeColor="accent1" w:themeShade="95"/>
        <w:sz w:val="22"/>
      </w:rPr>
      <w:pPr>
        <w:pBdr/>
        <w:spacing/>
        <w:ind/>
      </w:pPr>
      <w:tblPr>
        <w:tblBorders/>
      </w:tblPr>
      <w:tcPr>
        <w:shd w:val="clear" w:color="ffffff" w:themeColor="light1" w:fill="ffffff" w:themeFill="light1"/>
        <w:tcBorders>
          <w:top w:val="single" w:color="000000" w:themeColor="accent1"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2b4b72" w:themeColor="accent1" w:themeShade="95"/>
        <w:sz w:val="22"/>
      </w:rPr>
      <w:pPr>
        <w:pBdr/>
        <w:spacing/>
        <w:ind/>
      </w:pPr>
      <w:tblPr>
        <w:tblBorders/>
      </w:tblPr>
      <w:tcPr>
        <w:tcBorders/>
      </w:tcPr>
    </w:tblStylePr>
  </w:style>
  <w:style w:type="table" w:styleId="112">
    <w:name w:val="List Table 7 Colorful - Accent 2"/>
    <w:basedOn w:val="11"/>
    <w:uiPriority w:val="99"/>
    <w:pPr>
      <w:pBdr/>
      <w:spacing w:after="0" w:line="240" w:lineRule="auto"/>
      <w:ind/>
    </w:pPr>
    <w:tblPr>
      <w:tblStyleRowBandSize w:val="1"/>
      <w:tblStyleColBandSize w:val="1"/>
      <w:tblInd w:w="0" w:type="dxa"/>
      <w:tblBorders>
        <w:right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color="ffffff"/>
        <w:tcBorders>
          <w:top w:val="none"/>
          <w:left w:val="none"/>
          <w:bottom w:val="none"/>
          <w:right w:val="single" w:color="000000" w:themeColor="accent2" w:themeTint="97" w:sz="4" w:space="0"/>
        </w:tcBorders>
      </w:tcPr>
    </w:tblStylePr>
    <w:tblStylePr w:type="fir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9f3b38" w:themeColor="accent2" w:themeTint="97" w:themeShade="95"/>
        <w:sz w:val="22"/>
      </w:rPr>
      <w:pPr>
        <w:pBdr/>
        <w:spacing/>
        <w:ind/>
      </w:pPr>
      <w:tblPr>
        <w:tblBorders/>
      </w:tblPr>
      <w:tcPr>
        <w:shd w:color="ffffff"/>
        <w:tcBorders>
          <w:top w:val="none"/>
          <w:left w:val="single" w:color="000000" w:themeColor="accent2" w:themeTint="97" w:sz="4" w:space="0"/>
          <w:bottom w:val="none"/>
          <w:right w:val="none"/>
        </w:tcBorders>
      </w:tcPr>
    </w:tblStylePr>
    <w:tblStylePr w:type="la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9f3b38" w:themeColor="accent2" w:themeTint="97" w:themeShade="95"/>
        <w:sz w:val="22"/>
      </w:rPr>
      <w:pPr>
        <w:pBdr/>
        <w:spacing/>
        <w:ind/>
      </w:pPr>
      <w:tblPr>
        <w:tblBorders/>
      </w:tblPr>
      <w:tcPr>
        <w:tcBorders/>
      </w:tcPr>
    </w:tblStylePr>
  </w:style>
  <w:style w:type="table" w:styleId="113">
    <w:name w:val="List Table 7 Colorful - Accent 3"/>
    <w:basedOn w:val="11"/>
    <w:uiPriority w:val="99"/>
    <w:pPr>
      <w:pBdr/>
      <w:spacing w:after="0" w:line="240" w:lineRule="auto"/>
      <w:ind/>
    </w:pPr>
    <w:tblPr>
      <w:tblStyleRowBandSize w:val="1"/>
      <w:tblStyleColBandSize w:val="1"/>
      <w:tblInd w:w="0" w:type="dxa"/>
      <w:tblBorders>
        <w:right w:val="single" w:color="000000" w:themeColor="accent3" w:themeTint="98" w:sz="4" w:space="0"/>
      </w:tblBorders>
    </w:tblPr>
    <w:tcPr>
      <w:tcBorders/>
    </w:tcPr>
    <w:tblStylePr w:type="band1Horz">
      <w:rPr>
        <w:rFonts w:ascii="Arial" w:hAnsi="Arial"/>
        <w:color w:val="7c9a3f"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7c9a3f"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c9a3f" w:themeColor="accent3" w:themeTint="98" w:themeShade="95"/>
        <w:sz w:val="22"/>
      </w:rPr>
      <w:pPr>
        <w:pBdr/>
        <w:spacing/>
        <w:ind/>
        <w:jc w:val="right"/>
      </w:pPr>
      <w:tblPr>
        <w:tblBorders/>
      </w:tblPr>
      <w:tcPr>
        <w:shd w:color="ffffff"/>
        <w:tcBorders>
          <w:top w:val="none"/>
          <w:left w:val="none"/>
          <w:bottom w:val="none"/>
          <w:right w:val="single" w:color="000000" w:themeColor="accent3" w:themeTint="98" w:sz="4" w:space="0"/>
        </w:tcBorders>
      </w:tcPr>
    </w:tblStylePr>
    <w:tblStylePr w:type="fir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none"/>
          <w:left w:val="none"/>
          <w:bottom w:val="single" w:color="000000" w:themeColor="accent3" w:themeTint="98" w:sz="4" w:space="0"/>
          <w:right w:val="none"/>
        </w:tcBorders>
      </w:tcPr>
    </w:tblStylePr>
    <w:tblStylePr w:type="lastCol">
      <w:rPr>
        <w:rFonts w:ascii="Arial" w:hAnsi="Arial"/>
        <w:i/>
        <w:color w:val="7c9a3f" w:themeColor="accent3" w:themeTint="98" w:themeShade="95"/>
        <w:sz w:val="22"/>
      </w:rPr>
      <w:pPr>
        <w:pBdr/>
        <w:spacing/>
        <w:ind/>
      </w:pPr>
      <w:tblPr>
        <w:tblBorders/>
      </w:tblPr>
      <w:tcPr>
        <w:shd w:color="ffffff"/>
        <w:tcBorders>
          <w:top w:val="none"/>
          <w:left w:val="single" w:color="000000" w:themeColor="accent3" w:themeTint="98" w:sz="4" w:space="0"/>
          <w:bottom w:val="none"/>
          <w:right w:val="none"/>
        </w:tcBorders>
      </w:tcPr>
    </w:tblStylePr>
    <w:tblStylePr w:type="la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single" w:color="000000" w:themeColor="accent3" w:themeTint="98"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7c9a3f" w:themeColor="accent3" w:themeTint="98" w:themeShade="95"/>
        <w:sz w:val="22"/>
      </w:rPr>
      <w:pPr>
        <w:pBdr/>
        <w:spacing/>
        <w:ind/>
      </w:pPr>
      <w:tblPr>
        <w:tblBorders/>
      </w:tblPr>
      <w:tcPr>
        <w:tcBorders/>
      </w:tcPr>
    </w:tblStylePr>
  </w:style>
  <w:style w:type="table" w:styleId="114">
    <w:name w:val="List Table 7 Colorful - Accent 4"/>
    <w:basedOn w:val="11"/>
    <w:uiPriority w:val="99"/>
    <w:pPr>
      <w:pBdr/>
      <w:spacing w:after="0" w:line="240" w:lineRule="auto"/>
      <w:ind/>
    </w:pPr>
    <w:tblPr>
      <w:tblStyleRowBandSize w:val="1"/>
      <w:tblStyleColBandSize w:val="1"/>
      <w:tblInd w:w="0" w:type="dxa"/>
      <w:tblBorders>
        <w:right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color="ffffff"/>
        <w:tcBorders>
          <w:top w:val="none"/>
          <w:left w:val="none"/>
          <w:bottom w:val="none"/>
          <w:right w:val="single" w:color="000000" w:themeColor="accent4" w:themeTint="9A" w:sz="4" w:space="0"/>
        </w:tcBorders>
      </w:tcPr>
    </w:tblStylePr>
    <w:tblStylePr w:type="fir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674f84" w:themeColor="accent4" w:themeTint="9A" w:themeShade="95"/>
        <w:sz w:val="22"/>
      </w:rPr>
      <w:pPr>
        <w:pBdr/>
        <w:spacing/>
        <w:ind/>
      </w:pPr>
      <w:tblPr>
        <w:tblBorders/>
      </w:tblPr>
      <w:tcPr>
        <w:shd w:color="ffffff"/>
        <w:tcBorders>
          <w:top w:val="none"/>
          <w:left w:val="single" w:color="000000" w:themeColor="accent4" w:themeTint="9A" w:sz="4" w:space="0"/>
          <w:bottom w:val="none"/>
          <w:right w:val="none"/>
        </w:tcBorders>
      </w:tcPr>
    </w:tblStylePr>
    <w:tblStylePr w:type="la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674f84" w:themeColor="accent4" w:themeTint="9A" w:themeShade="95"/>
        <w:sz w:val="22"/>
      </w:rPr>
      <w:pPr>
        <w:pBdr/>
        <w:spacing/>
        <w:ind/>
      </w:pPr>
      <w:tblPr>
        <w:tblBorders/>
      </w:tblPr>
      <w:tcPr>
        <w:tcBorders/>
      </w:tcPr>
    </w:tblStylePr>
  </w:style>
  <w:style w:type="table" w:styleId="115">
    <w:name w:val="List Table 7 Colorful - Accent 5"/>
    <w:basedOn w:val="11"/>
    <w:uiPriority w:val="99"/>
    <w:pPr>
      <w:pBdr/>
      <w:spacing w:after="0" w:line="240" w:lineRule="auto"/>
      <w:ind/>
    </w:pPr>
    <w:tblPr>
      <w:tblStyleRowBandSize w:val="1"/>
      <w:tblStyleColBandSize w:val="1"/>
      <w:tblInd w:w="0" w:type="dxa"/>
      <w:tblBorders>
        <w:right w:val="single" w:color="000000" w:themeColor="accent5" w:themeTint="9A" w:sz="4" w:space="0"/>
      </w:tblBorders>
    </w:tblPr>
    <w:tcPr>
      <w:tcBorders/>
    </w:tcPr>
    <w:tblStylePr w:type="band1Horz">
      <w:rPr>
        <w:rFonts w:ascii="Arial" w:hAnsi="Arial"/>
        <w:color w:val="348ba3"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348ba3"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48ba3" w:themeColor="accent5" w:themeTint="9A" w:themeShade="95"/>
        <w:sz w:val="22"/>
      </w:rPr>
      <w:pPr>
        <w:pBdr/>
        <w:spacing/>
        <w:ind/>
        <w:jc w:val="right"/>
      </w:pPr>
      <w:tblPr>
        <w:tblBorders/>
      </w:tblPr>
      <w:tcPr>
        <w:shd w:color="ffffff"/>
        <w:tcBorders>
          <w:top w:val="none"/>
          <w:left w:val="none"/>
          <w:bottom w:val="none"/>
          <w:right w:val="single" w:color="000000" w:themeColor="accent5" w:themeTint="9A" w:sz="4" w:space="0"/>
        </w:tcBorders>
      </w:tcPr>
    </w:tblStylePr>
    <w:tblStylePr w:type="fir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none"/>
          <w:left w:val="none"/>
          <w:bottom w:val="single" w:color="000000" w:themeColor="accent5" w:themeTint="9A" w:sz="4" w:space="0"/>
          <w:right w:val="none"/>
        </w:tcBorders>
      </w:tcPr>
    </w:tblStylePr>
    <w:tblStylePr w:type="lastCol">
      <w:rPr>
        <w:rFonts w:ascii="Arial" w:hAnsi="Arial"/>
        <w:i/>
        <w:color w:val="348ba3" w:themeColor="accent5" w:themeTint="9A" w:themeShade="95"/>
        <w:sz w:val="22"/>
      </w:rPr>
      <w:pPr>
        <w:pBdr/>
        <w:spacing/>
        <w:ind/>
      </w:pPr>
      <w:tblPr>
        <w:tblBorders/>
      </w:tblPr>
      <w:tcPr>
        <w:shd w:color="ffffff"/>
        <w:tcBorders>
          <w:top w:val="none"/>
          <w:left w:val="single" w:color="000000" w:themeColor="accent5" w:themeTint="9A" w:sz="4" w:space="0"/>
          <w:bottom w:val="none"/>
          <w:right w:val="none"/>
        </w:tcBorders>
      </w:tcPr>
    </w:tblStylePr>
    <w:tblStylePr w:type="la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single" w:color="000000" w:themeColor="accent5" w:themeTint="9A"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348ba3" w:themeColor="accent5" w:themeTint="9A" w:themeShade="95"/>
        <w:sz w:val="22"/>
      </w:rPr>
      <w:pPr>
        <w:pBdr/>
        <w:spacing/>
        <w:ind/>
      </w:pPr>
      <w:tblPr>
        <w:tblBorders/>
      </w:tblPr>
      <w:tcPr>
        <w:tcBorders/>
      </w:tcPr>
    </w:tblStylePr>
  </w:style>
  <w:style w:type="table" w:styleId="116">
    <w:name w:val="List Table 7 Colorful - Accent 6"/>
    <w:basedOn w:val="11"/>
    <w:uiPriority w:val="99"/>
    <w:pPr>
      <w:pBdr/>
      <w:spacing w:after="0" w:line="240" w:lineRule="auto"/>
      <w:ind/>
    </w:pPr>
    <w:tblPr>
      <w:tblStyleRowBandSize w:val="1"/>
      <w:tblStyleColBandSize w:val="1"/>
      <w:tblInd w:w="0" w:type="dxa"/>
      <w:tblBorders>
        <w:right w:val="single" w:color="000000" w:themeColor="accent6" w:themeTint="98" w:sz="4" w:space="0"/>
      </w:tblBorders>
    </w:tblPr>
    <w:tcPr>
      <w:tcBorders/>
    </w:tcPr>
    <w:tblStylePr w:type="band1Horz">
      <w:rPr>
        <w:rFonts w:ascii="Arial" w:hAnsi="Arial"/>
        <w:color w:val="dd690a"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dd690a"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d690a" w:themeColor="accent6" w:themeTint="98" w:themeShade="95"/>
        <w:sz w:val="22"/>
      </w:rPr>
      <w:pPr>
        <w:pBdr/>
        <w:spacing/>
        <w:ind/>
        <w:jc w:val="right"/>
      </w:pPr>
      <w:tblPr>
        <w:tblBorders/>
      </w:tblPr>
      <w:tcPr>
        <w:shd w:color="ffffff"/>
        <w:tcBorders>
          <w:top w:val="none"/>
          <w:left w:val="none"/>
          <w:bottom w:val="none"/>
          <w:right w:val="single" w:color="000000" w:themeColor="accent6" w:themeTint="98" w:sz="4" w:space="0"/>
        </w:tcBorders>
      </w:tcPr>
    </w:tblStylePr>
    <w:tblStylePr w:type="fir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none"/>
          <w:left w:val="none"/>
          <w:bottom w:val="single" w:color="000000" w:themeColor="accent6" w:themeTint="98" w:sz="4" w:space="0"/>
          <w:right w:val="none"/>
        </w:tcBorders>
      </w:tcPr>
    </w:tblStylePr>
    <w:tblStylePr w:type="lastCol">
      <w:rPr>
        <w:rFonts w:ascii="Arial" w:hAnsi="Arial"/>
        <w:i/>
        <w:color w:val="dd690a" w:themeColor="accent6" w:themeTint="98" w:themeShade="95"/>
        <w:sz w:val="22"/>
      </w:rPr>
      <w:pPr>
        <w:pBdr/>
        <w:spacing/>
        <w:ind/>
      </w:pPr>
      <w:tblPr>
        <w:tblBorders/>
      </w:tblPr>
      <w:tcPr>
        <w:shd w:color="ffffff"/>
        <w:tcBorders>
          <w:top w:val="none"/>
          <w:left w:val="single" w:color="000000" w:themeColor="accent6" w:themeTint="98" w:sz="4" w:space="0"/>
          <w:bottom w:val="none"/>
          <w:right w:val="none"/>
        </w:tcBorders>
      </w:tcPr>
    </w:tblStylePr>
    <w:tblStylePr w:type="la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single" w:color="000000" w:themeColor="accent6" w:themeTint="98"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dd690a" w:themeColor="accent6" w:themeTint="98" w:themeShade="95"/>
        <w:sz w:val="22"/>
      </w:rPr>
      <w:pPr>
        <w:pBdr/>
        <w:spacing/>
        <w:ind/>
      </w:pPr>
      <w:tblPr>
        <w:tblBorders/>
      </w:tblPr>
      <w:tcPr>
        <w:tcBorders/>
      </w:tcPr>
    </w:tblStylePr>
  </w:style>
  <w:style w:type="table" w:styleId="117">
    <w:name w:val="Lined - Accent"/>
    <w:basedOn w:val="11"/>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8">
    <w:name w:val="Lined - Accent 1"/>
    <w:basedOn w:val="11"/>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9">
    <w:name w:val="Lined - Accent 2"/>
    <w:basedOn w:val="11"/>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0">
    <w:name w:val="Lined - Accent 3"/>
    <w:basedOn w:val="11"/>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1">
    <w:name w:val="Lined - Accent 4"/>
    <w:basedOn w:val="11"/>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2">
    <w:name w:val="Lined - Accent 5"/>
    <w:basedOn w:val="11"/>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3">
    <w:name w:val="Lined - Accent 6"/>
    <w:basedOn w:val="11"/>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4">
    <w:name w:val="Bordered &amp; Lined - Accent"/>
    <w:basedOn w:val="11"/>
    <w:uiPriority w:val="99"/>
    <w:pPr>
      <w:pBdr/>
      <w:spacing w:after="0" w:line="240" w:lineRule="auto"/>
      <w:ind/>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5">
    <w:name w:val="Bordered &amp; Lined - Accent 1"/>
    <w:basedOn w:val="11"/>
    <w:uiPriority w:val="99"/>
    <w:pPr>
      <w:pBdr/>
      <w:spacing w:after="0" w:line="240" w:lineRule="auto"/>
      <w:ind/>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6">
    <w:name w:val="Bordered &amp; Lined - Accent 2"/>
    <w:basedOn w:val="11"/>
    <w:uiPriority w:val="99"/>
    <w:pPr>
      <w:pBdr/>
      <w:spacing w:after="0" w:line="240" w:lineRule="auto"/>
      <w:ind/>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7">
    <w:name w:val="Bordered &amp; Lined - Accent 3"/>
    <w:basedOn w:val="11"/>
    <w:uiPriority w:val="99"/>
    <w:pPr>
      <w:pBdr/>
      <w:spacing w:after="0" w:line="240" w:lineRule="auto"/>
      <w:ind/>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8">
    <w:name w:val="Bordered &amp; Lined - Accent 4"/>
    <w:basedOn w:val="11"/>
    <w:uiPriority w:val="99"/>
    <w:pPr>
      <w:pBdr/>
      <w:spacing w:after="0" w:line="240" w:lineRule="auto"/>
      <w:ind/>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9">
    <w:name w:val="Bordered &amp; Lined - Accent 5"/>
    <w:basedOn w:val="11"/>
    <w:uiPriority w:val="99"/>
    <w:pPr>
      <w:pBdr/>
      <w:spacing w:after="0" w:line="240" w:lineRule="auto"/>
      <w:ind/>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0">
    <w:name w:val="Bordered &amp; Lined - Accent 6"/>
    <w:basedOn w:val="11"/>
    <w:uiPriority w:val="99"/>
    <w:pPr>
      <w:pBdr/>
      <w:spacing w:after="0" w:line="240" w:lineRule="auto"/>
      <w:ind/>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1">
    <w:name w:val="Bordered"/>
    <w:basedOn w:val="11"/>
    <w:uiPriority w:val="99"/>
    <w:pPr>
      <w:pBdr/>
      <w:spacing w:after="0" w:line="240" w:lineRule="auto"/>
      <w:ind/>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text1" w:themeTint="80" w:sz="12" w:space="0"/>
        </w:tcBorders>
      </w:tcPr>
    </w:tblStylePr>
    <w:tblStylePr w:type="lastCol">
      <w:rPr>
        <w:rFonts w:ascii="Arial" w:hAnsi="Arial"/>
        <w:color w:val="404040"/>
        <w:sz w:val="22"/>
      </w:rPr>
      <w:pPr>
        <w:pBdr/>
        <w:spacing/>
        <w:ind/>
      </w:pPr>
      <w:tblPr>
        <w:tblBorders/>
      </w:tblPr>
      <w:tcPr>
        <w:tcBorders>
          <w:left w:val="single" w:color="000000" w:themeColor="text1" w:themeTint="80" w:sz="12" w:space="0"/>
        </w:tcBorders>
      </w:tcPr>
    </w:tblStylePr>
    <w:tblStylePr w:type="lastRow">
      <w:rPr>
        <w:rFonts w:ascii="Arial" w:hAnsi="Arial"/>
        <w:color w:val="404040"/>
        <w:sz w:val="22"/>
      </w:rPr>
      <w:pPr>
        <w:pBdr/>
        <w:spacing/>
        <w:ind/>
      </w:pPr>
      <w:tblPr>
        <w:tblBorders/>
      </w:tblPr>
      <w:tcPr>
        <w:tcBorders>
          <w:top w:val="single" w:color="000000"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2">
    <w:name w:val="Bordered - Accent 1"/>
    <w:basedOn w:val="11"/>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1" w:sz="12" w:space="0"/>
        </w:tcBorders>
      </w:tcPr>
    </w:tblStylePr>
    <w:tblStylePr w:type="lastCol">
      <w:rPr>
        <w:rFonts w:ascii="Arial" w:hAnsi="Arial"/>
        <w:color w:val="404040"/>
        <w:sz w:val="22"/>
      </w:rPr>
      <w:pPr>
        <w:pBdr/>
        <w:spacing/>
        <w:ind/>
      </w:pPr>
      <w:tblPr>
        <w:tblBorders/>
      </w:tblPr>
      <w:tcPr>
        <w:tcBorders>
          <w:left w:val="single" w:color="000000" w:themeColor="accent1" w:sz="12" w:space="0"/>
        </w:tcBorders>
      </w:tcPr>
    </w:tblStylePr>
    <w:tblStylePr w:type="lastRow">
      <w:rPr>
        <w:rFonts w:ascii="Arial" w:hAnsi="Arial"/>
        <w:color w:val="404040"/>
        <w:sz w:val="22"/>
      </w:rPr>
      <w:pPr>
        <w:pBdr/>
        <w:spacing/>
        <w:ind/>
      </w:pPr>
      <w:tblPr>
        <w:tblBorders/>
      </w:tblPr>
      <w:tcPr>
        <w:tcBorders>
          <w:top w:val="single" w:color="000000"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3">
    <w:name w:val="Bordered - Accent 2"/>
    <w:basedOn w:val="11"/>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2" w:themeTint="97" w:sz="12" w:space="0"/>
        </w:tcBorders>
      </w:tcPr>
    </w:tblStylePr>
    <w:tblStylePr w:type="lastCol">
      <w:rPr>
        <w:rFonts w:ascii="Arial" w:hAnsi="Arial"/>
        <w:color w:val="404040"/>
        <w:sz w:val="22"/>
      </w:rPr>
      <w:pPr>
        <w:pBdr/>
        <w:spacing/>
        <w:ind/>
      </w:pPr>
      <w:tblPr>
        <w:tblBorders/>
      </w:tblPr>
      <w:tcPr>
        <w:tcBorders>
          <w:left w:val="single" w:color="000000" w:themeColor="accent2" w:themeTint="97" w:sz="12" w:space="0"/>
        </w:tcBorders>
      </w:tcPr>
    </w:tblStylePr>
    <w:tblStylePr w:type="lastRow">
      <w:rPr>
        <w:rFonts w:ascii="Arial" w:hAnsi="Arial"/>
        <w:color w:val="404040"/>
        <w:sz w:val="22"/>
      </w:rPr>
      <w:pPr>
        <w:pBdr/>
        <w:spacing/>
        <w:ind/>
      </w:pPr>
      <w:tblPr>
        <w:tblBorders/>
      </w:tblPr>
      <w:tcPr>
        <w:tcBorders>
          <w:top w:val="single" w:color="000000"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4">
    <w:name w:val="Bordered - Accent 3"/>
    <w:basedOn w:val="11"/>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3" w:themeTint="98" w:sz="12" w:space="0"/>
        </w:tcBorders>
      </w:tcPr>
    </w:tblStylePr>
    <w:tblStylePr w:type="lastCol">
      <w:rPr>
        <w:rFonts w:ascii="Arial" w:hAnsi="Arial"/>
        <w:color w:val="404040"/>
        <w:sz w:val="22"/>
      </w:rPr>
      <w:pPr>
        <w:pBdr/>
        <w:spacing/>
        <w:ind/>
      </w:pPr>
      <w:tblPr>
        <w:tblBorders/>
      </w:tblPr>
      <w:tcPr>
        <w:tcBorders>
          <w:left w:val="single" w:color="000000" w:themeColor="accent3" w:themeTint="98" w:sz="12" w:space="0"/>
        </w:tcBorders>
      </w:tcPr>
    </w:tblStylePr>
    <w:tblStylePr w:type="lastRow">
      <w:rPr>
        <w:rFonts w:ascii="Arial" w:hAnsi="Arial"/>
        <w:color w:val="404040"/>
        <w:sz w:val="22"/>
      </w:rPr>
      <w:pPr>
        <w:pBdr/>
        <w:spacing/>
        <w:ind/>
      </w:pPr>
      <w:tblPr>
        <w:tblBorders/>
      </w:tblPr>
      <w:tcPr>
        <w:tcBorders>
          <w:top w:val="single" w:color="000000"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5">
    <w:name w:val="Bordered - Accent 4"/>
    <w:basedOn w:val="11"/>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4" w:themeTint="9A" w:sz="12" w:space="0"/>
        </w:tcBorders>
      </w:tcPr>
    </w:tblStylePr>
    <w:tblStylePr w:type="lastCol">
      <w:rPr>
        <w:rFonts w:ascii="Arial" w:hAnsi="Arial"/>
        <w:color w:val="404040"/>
        <w:sz w:val="22"/>
      </w:rPr>
      <w:pPr>
        <w:pBdr/>
        <w:spacing/>
        <w:ind/>
      </w:pPr>
      <w:tblPr>
        <w:tblBorders/>
      </w:tblPr>
      <w:tcPr>
        <w:tcBorders>
          <w:left w:val="single" w:color="000000" w:themeColor="accent4" w:themeTint="9A" w:sz="12" w:space="0"/>
        </w:tcBorders>
      </w:tcPr>
    </w:tblStylePr>
    <w:tblStylePr w:type="lastRow">
      <w:rPr>
        <w:rFonts w:ascii="Arial" w:hAnsi="Arial"/>
        <w:color w:val="404040"/>
        <w:sz w:val="22"/>
      </w:rPr>
      <w:pPr>
        <w:pBdr/>
        <w:spacing/>
        <w:ind/>
      </w:pPr>
      <w:tblPr>
        <w:tblBorders/>
      </w:tblPr>
      <w:tcPr>
        <w:tcBorders>
          <w:top w:val="single" w:color="000000"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6">
    <w:name w:val="Bordered - Accent 5"/>
    <w:basedOn w:val="11"/>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5" w:themeTint="9A" w:sz="12" w:space="0"/>
        </w:tcBorders>
      </w:tcPr>
    </w:tblStylePr>
    <w:tblStylePr w:type="lastCol">
      <w:rPr>
        <w:rFonts w:ascii="Arial" w:hAnsi="Arial"/>
        <w:color w:val="404040"/>
        <w:sz w:val="22"/>
      </w:rPr>
      <w:pPr>
        <w:pBdr/>
        <w:spacing/>
        <w:ind/>
      </w:pPr>
      <w:tblPr>
        <w:tblBorders/>
      </w:tblPr>
      <w:tcPr>
        <w:tcBorders>
          <w:left w:val="single" w:color="000000" w:themeColor="accent5" w:themeTint="9A" w:sz="12" w:space="0"/>
        </w:tcBorders>
      </w:tcPr>
    </w:tblStylePr>
    <w:tblStylePr w:type="lastRow">
      <w:rPr>
        <w:rFonts w:ascii="Arial" w:hAnsi="Arial"/>
        <w:color w:val="404040"/>
        <w:sz w:val="22"/>
      </w:rPr>
      <w:pPr>
        <w:pBdr/>
        <w:spacing/>
        <w:ind/>
      </w:pPr>
      <w:tblPr>
        <w:tblBorders/>
      </w:tblPr>
      <w:tcPr>
        <w:tcBorders>
          <w:top w:val="single" w:color="000000"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7">
    <w:name w:val="Bordered - Accent 6"/>
    <w:basedOn w:val="11"/>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6" w:themeTint="98" w:sz="12" w:space="0"/>
        </w:tcBorders>
      </w:tcPr>
    </w:tblStylePr>
    <w:tblStylePr w:type="lastCol">
      <w:rPr>
        <w:rFonts w:ascii="Arial" w:hAnsi="Arial"/>
        <w:color w:val="404040"/>
        <w:sz w:val="22"/>
      </w:rPr>
      <w:pPr>
        <w:pBdr/>
        <w:spacing/>
        <w:ind/>
      </w:pPr>
      <w:tblPr>
        <w:tblBorders/>
      </w:tblPr>
      <w:tcPr>
        <w:tcBorders>
          <w:left w:val="single" w:color="000000" w:themeColor="accent6" w:themeTint="98" w:sz="12" w:space="0"/>
        </w:tcBorders>
      </w:tcPr>
    </w:tblStylePr>
    <w:tblStylePr w:type="lastRow">
      <w:rPr>
        <w:rFonts w:ascii="Arial" w:hAnsi="Arial"/>
        <w:color w:val="404040"/>
        <w:sz w:val="22"/>
      </w:rPr>
      <w:pPr>
        <w:pBdr/>
        <w:spacing/>
        <w:ind/>
      </w:pPr>
      <w:tblPr>
        <w:tblBorders/>
      </w:tblPr>
      <w:tcPr>
        <w:tcBorders>
          <w:top w:val="single" w:color="000000"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38" w:default="1">
    <w:name w:val="Normal"/>
    <w:qFormat/>
    <w:pPr>
      <w:pBdr/>
      <w:spacing/>
      <w:ind/>
    </w:pPr>
  </w:style>
  <w:style w:type="paragraph" w:styleId="145">
    <w:name w:val="Heading 7"/>
    <w:basedOn w:val="138"/>
    <w:next w:val="138"/>
    <w:link w:val="156"/>
    <w:uiPriority w:val="9"/>
    <w:unhideWhenUsed/>
    <w:qFormat/>
    <w:pPr>
      <w:keepNext w:val="true"/>
      <w:keepLines w:val="true"/>
      <w:pBdr/>
      <w:spacing w:after="0" w:before="40"/>
      <w:ind/>
      <w:outlineLvl w:val="6"/>
    </w:pPr>
    <w:rPr>
      <w:rFonts w:ascii="Arial" w:hAnsi="Arial" w:eastAsia="Arial" w:cs="Arial"/>
      <w:color w:val="595959" w:themeColor="text1" w:themeTint="A6"/>
    </w:rPr>
  </w:style>
  <w:style w:type="paragraph" w:styleId="146">
    <w:name w:val="Heading 8"/>
    <w:basedOn w:val="138"/>
    <w:next w:val="138"/>
    <w:link w:val="157"/>
    <w:uiPriority w:val="9"/>
    <w:unhideWhenUsed/>
    <w:qFormat/>
    <w:pPr>
      <w:keepNext w:val="true"/>
      <w:keepLines w:val="true"/>
      <w:pBdr/>
      <w:spacing w:after="0"/>
      <w:ind/>
      <w:outlineLvl w:val="7"/>
    </w:pPr>
    <w:rPr>
      <w:rFonts w:ascii="Arial" w:hAnsi="Arial" w:eastAsia="Arial" w:cs="Arial"/>
      <w:i/>
      <w:iCs/>
      <w:color w:val="272727" w:themeColor="text1" w:themeTint="D8"/>
    </w:rPr>
  </w:style>
  <w:style w:type="paragraph" w:styleId="147">
    <w:name w:val="Heading 9"/>
    <w:basedOn w:val="138"/>
    <w:next w:val="138"/>
    <w:link w:val="158"/>
    <w:uiPriority w:val="9"/>
    <w:unhideWhenUsed/>
    <w:qFormat/>
    <w:pPr>
      <w:keepNext w:val="true"/>
      <w:keepLines w:val="true"/>
      <w:pBdr/>
      <w:spacing w:after="0"/>
      <w:ind/>
      <w:outlineLvl w:val="8"/>
    </w:pPr>
    <w:rPr>
      <w:rFonts w:ascii="Arial" w:hAnsi="Arial" w:eastAsia="Arial" w:cs="Arial"/>
      <w:i/>
      <w:iCs/>
      <w:color w:val="272727" w:themeColor="text1" w:themeTint="D8"/>
    </w:rPr>
  </w:style>
  <w:style w:type="character" w:styleId="148" w:default="1">
    <w:name w:val="Default Paragraph Font"/>
    <w:uiPriority w:val="1"/>
    <w:semiHidden/>
    <w:unhideWhenUsed/>
    <w:pPr>
      <w:pBdr/>
      <w:spacing/>
      <w:ind/>
    </w:pPr>
  </w:style>
  <w:style w:type="numbering" w:styleId="149" w:default="1">
    <w:name w:val="No List"/>
    <w:uiPriority w:val="99"/>
    <w:semiHidden/>
    <w:unhideWhenUsed/>
    <w:pPr>
      <w:pBdr/>
      <w:spacing/>
      <w:ind/>
    </w:pPr>
  </w:style>
  <w:style w:type="character" w:styleId="150">
    <w:name w:val="Heading 1 Char"/>
    <w:basedOn w:val="148"/>
    <w:link w:val="827"/>
    <w:uiPriority w:val="9"/>
    <w:pPr>
      <w:pBdr/>
      <w:spacing/>
      <w:ind/>
    </w:pPr>
    <w:rPr>
      <w:rFonts w:ascii="Arial" w:hAnsi="Arial" w:eastAsia="Arial" w:cs="Arial"/>
      <w:color w:val="0f4761" w:themeColor="accent1" w:themeShade="BF"/>
      <w:sz w:val="40"/>
      <w:szCs w:val="40"/>
    </w:rPr>
  </w:style>
  <w:style w:type="character" w:styleId="151">
    <w:name w:val="Heading 2 Char"/>
    <w:basedOn w:val="148"/>
    <w:link w:val="828"/>
    <w:uiPriority w:val="9"/>
    <w:pPr>
      <w:pBdr/>
      <w:spacing/>
      <w:ind/>
    </w:pPr>
    <w:rPr>
      <w:rFonts w:ascii="Arial" w:hAnsi="Arial" w:eastAsia="Arial" w:cs="Arial"/>
      <w:color w:val="0f4761" w:themeColor="accent1" w:themeShade="BF"/>
      <w:sz w:val="32"/>
      <w:szCs w:val="32"/>
    </w:rPr>
  </w:style>
  <w:style w:type="character" w:styleId="152">
    <w:name w:val="Heading 3 Char"/>
    <w:basedOn w:val="148"/>
    <w:link w:val="829"/>
    <w:uiPriority w:val="9"/>
    <w:pPr>
      <w:pBdr/>
      <w:spacing/>
      <w:ind/>
    </w:pPr>
    <w:rPr>
      <w:rFonts w:ascii="Arial" w:hAnsi="Arial" w:eastAsia="Arial" w:cs="Arial"/>
      <w:color w:val="0f4761" w:themeColor="accent1" w:themeShade="BF"/>
      <w:sz w:val="28"/>
      <w:szCs w:val="28"/>
    </w:rPr>
  </w:style>
  <w:style w:type="character" w:styleId="153">
    <w:name w:val="Heading 4 Char"/>
    <w:basedOn w:val="148"/>
    <w:link w:val="830"/>
    <w:uiPriority w:val="9"/>
    <w:pPr>
      <w:pBdr/>
      <w:spacing/>
      <w:ind/>
    </w:pPr>
    <w:rPr>
      <w:rFonts w:ascii="Arial" w:hAnsi="Arial" w:eastAsia="Arial" w:cs="Arial"/>
      <w:i/>
      <w:iCs/>
      <w:color w:val="0f4761" w:themeColor="accent1" w:themeShade="BF"/>
    </w:rPr>
  </w:style>
  <w:style w:type="character" w:styleId="154">
    <w:name w:val="Heading 5 Char"/>
    <w:basedOn w:val="148"/>
    <w:link w:val="816"/>
    <w:uiPriority w:val="9"/>
    <w:pPr>
      <w:pBdr/>
      <w:spacing/>
      <w:ind/>
    </w:pPr>
    <w:rPr>
      <w:rFonts w:ascii="Arial" w:hAnsi="Arial" w:eastAsia="Arial" w:cs="Arial"/>
      <w:color w:val="0f4761" w:themeColor="accent1" w:themeShade="BF"/>
    </w:rPr>
  </w:style>
  <w:style w:type="character" w:styleId="155">
    <w:name w:val="Heading 6 Char"/>
    <w:basedOn w:val="148"/>
    <w:link w:val="817"/>
    <w:uiPriority w:val="9"/>
    <w:pPr>
      <w:pBdr/>
      <w:spacing/>
      <w:ind/>
    </w:pPr>
    <w:rPr>
      <w:rFonts w:ascii="Arial" w:hAnsi="Arial" w:eastAsia="Arial" w:cs="Arial"/>
      <w:i/>
      <w:iCs/>
      <w:color w:val="595959" w:themeColor="text1" w:themeTint="A6"/>
    </w:rPr>
  </w:style>
  <w:style w:type="character" w:styleId="156">
    <w:name w:val="Heading 7 Char"/>
    <w:basedOn w:val="148"/>
    <w:link w:val="145"/>
    <w:uiPriority w:val="9"/>
    <w:pPr>
      <w:pBdr/>
      <w:spacing/>
      <w:ind/>
    </w:pPr>
    <w:rPr>
      <w:rFonts w:ascii="Arial" w:hAnsi="Arial" w:eastAsia="Arial" w:cs="Arial"/>
      <w:color w:val="595959" w:themeColor="text1" w:themeTint="A6"/>
    </w:rPr>
  </w:style>
  <w:style w:type="character" w:styleId="157">
    <w:name w:val="Heading 8 Char"/>
    <w:basedOn w:val="148"/>
    <w:link w:val="146"/>
    <w:uiPriority w:val="9"/>
    <w:pPr>
      <w:pBdr/>
      <w:spacing/>
      <w:ind/>
    </w:pPr>
    <w:rPr>
      <w:rFonts w:ascii="Arial" w:hAnsi="Arial" w:eastAsia="Arial" w:cs="Arial"/>
      <w:i/>
      <w:iCs/>
      <w:color w:val="272727" w:themeColor="text1" w:themeTint="D8"/>
    </w:rPr>
  </w:style>
  <w:style w:type="character" w:styleId="158">
    <w:name w:val="Heading 9 Char"/>
    <w:basedOn w:val="148"/>
    <w:link w:val="147"/>
    <w:uiPriority w:val="9"/>
    <w:pPr>
      <w:pBdr/>
      <w:spacing/>
      <w:ind/>
    </w:pPr>
    <w:rPr>
      <w:rFonts w:ascii="Arial" w:hAnsi="Arial" w:eastAsia="Arial" w:cs="Arial"/>
      <w:i/>
      <w:iCs/>
      <w:color w:val="272727" w:themeColor="text1" w:themeTint="D8"/>
    </w:rPr>
  </w:style>
  <w:style w:type="character" w:styleId="160">
    <w:name w:val="Title Char"/>
    <w:basedOn w:val="148"/>
    <w:link w:val="811"/>
    <w:uiPriority w:val="10"/>
    <w:pPr>
      <w:pBdr/>
      <w:spacing/>
      <w:ind/>
    </w:pPr>
    <w:rPr>
      <w:rFonts w:ascii="Arial" w:hAnsi="Arial" w:eastAsia="Arial" w:cs="Arial"/>
      <w:spacing w:val="-10"/>
      <w:sz w:val="56"/>
      <w:szCs w:val="56"/>
    </w:rPr>
  </w:style>
  <w:style w:type="paragraph" w:styleId="161">
    <w:name w:val="Subtitle"/>
    <w:basedOn w:val="138"/>
    <w:next w:val="138"/>
    <w:link w:val="162"/>
    <w:uiPriority w:val="11"/>
    <w:qFormat/>
    <w:pPr>
      <w:numPr>
        <w:ilvl w:val="1"/>
      </w:numPr>
      <w:pBdr/>
      <w:spacing/>
      <w:ind/>
    </w:pPr>
    <w:rPr>
      <w:color w:val="595959" w:themeColor="text1" w:themeTint="A6"/>
      <w:spacing w:val="15"/>
      <w:sz w:val="28"/>
      <w:szCs w:val="28"/>
    </w:rPr>
  </w:style>
  <w:style w:type="character" w:styleId="162">
    <w:name w:val="Subtitle Char"/>
    <w:basedOn w:val="148"/>
    <w:link w:val="161"/>
    <w:uiPriority w:val="11"/>
    <w:pPr>
      <w:pBdr/>
      <w:spacing/>
      <w:ind/>
    </w:pPr>
    <w:rPr>
      <w:color w:val="595959" w:themeColor="text1" w:themeTint="A6"/>
      <w:spacing w:val="15"/>
      <w:sz w:val="28"/>
      <w:szCs w:val="28"/>
    </w:rPr>
  </w:style>
  <w:style w:type="paragraph" w:styleId="163">
    <w:name w:val="Quote"/>
    <w:basedOn w:val="138"/>
    <w:next w:val="138"/>
    <w:link w:val="164"/>
    <w:uiPriority w:val="29"/>
    <w:qFormat/>
    <w:pPr>
      <w:pBdr/>
      <w:spacing w:before="160"/>
      <w:ind/>
      <w:jc w:val="center"/>
    </w:pPr>
    <w:rPr>
      <w:i/>
      <w:iCs/>
      <w:color w:val="404040" w:themeColor="text1" w:themeTint="BF"/>
    </w:rPr>
  </w:style>
  <w:style w:type="character" w:styleId="164">
    <w:name w:val="Quote Char"/>
    <w:basedOn w:val="148"/>
    <w:link w:val="163"/>
    <w:uiPriority w:val="29"/>
    <w:pPr>
      <w:pBdr/>
      <w:spacing/>
      <w:ind/>
    </w:pPr>
    <w:rPr>
      <w:i/>
      <w:iCs/>
      <w:color w:val="404040" w:themeColor="text1" w:themeTint="BF"/>
    </w:rPr>
  </w:style>
  <w:style w:type="character" w:styleId="166">
    <w:name w:val="Intense Emphasis"/>
    <w:basedOn w:val="148"/>
    <w:uiPriority w:val="21"/>
    <w:qFormat/>
    <w:pPr>
      <w:pBdr/>
      <w:spacing/>
      <w:ind/>
    </w:pPr>
    <w:rPr>
      <w:i/>
      <w:iCs/>
      <w:color w:val="0f4761" w:themeColor="accent1" w:themeShade="BF"/>
    </w:rPr>
  </w:style>
  <w:style w:type="paragraph" w:styleId="167">
    <w:name w:val="Intense Quote"/>
    <w:basedOn w:val="138"/>
    <w:next w:val="138"/>
    <w:link w:val="168"/>
    <w:uiPriority w:val="30"/>
    <w:qFormat/>
    <w:pPr>
      <w:pBdr>
        <w:top w:val="single" w:color="0f4761" w:themeColor="accent1" w:themeShade="BF" w:sz="4" w:space="10"/>
        <w:bottom w:val="single" w:color="0f4761" w:themeColor="accent1" w:themeShade="BF" w:sz="4" w:space="10"/>
      </w:pBdr>
      <w:spacing w:after="360" w:before="360"/>
      <w:ind w:right="864" w:left="864"/>
      <w:jc w:val="center"/>
    </w:pPr>
    <w:rPr>
      <w:i/>
      <w:iCs/>
      <w:color w:val="0f4761" w:themeColor="accent1" w:themeShade="BF"/>
    </w:rPr>
  </w:style>
  <w:style w:type="character" w:styleId="168">
    <w:name w:val="Intense Quote Char"/>
    <w:basedOn w:val="148"/>
    <w:link w:val="167"/>
    <w:uiPriority w:val="30"/>
    <w:pPr>
      <w:pBdr/>
      <w:spacing/>
      <w:ind/>
    </w:pPr>
    <w:rPr>
      <w:i/>
      <w:iCs/>
      <w:color w:val="0f4761" w:themeColor="accent1" w:themeShade="BF"/>
    </w:rPr>
  </w:style>
  <w:style w:type="character" w:styleId="169">
    <w:name w:val="Intense Reference"/>
    <w:basedOn w:val="148"/>
    <w:uiPriority w:val="32"/>
    <w:qFormat/>
    <w:pPr>
      <w:pBdr/>
      <w:spacing/>
      <w:ind/>
    </w:pPr>
    <w:rPr>
      <w:b/>
      <w:bCs/>
      <w:smallCaps/>
      <w:color w:val="0f4761" w:themeColor="accent1" w:themeShade="BF"/>
      <w:spacing w:val="5"/>
    </w:rPr>
  </w:style>
  <w:style w:type="paragraph" w:styleId="170">
    <w:name w:val="No Spacing"/>
    <w:basedOn w:val="138"/>
    <w:uiPriority w:val="1"/>
    <w:qFormat/>
    <w:pPr>
      <w:pBdr/>
      <w:spacing w:after="0" w:line="240" w:lineRule="auto"/>
      <w:ind/>
    </w:pPr>
  </w:style>
  <w:style w:type="character" w:styleId="171">
    <w:name w:val="Subtle Emphasis"/>
    <w:basedOn w:val="148"/>
    <w:uiPriority w:val="19"/>
    <w:qFormat/>
    <w:pPr>
      <w:pBdr/>
      <w:spacing/>
      <w:ind/>
    </w:pPr>
    <w:rPr>
      <w:i/>
      <w:iCs/>
      <w:color w:val="404040" w:themeColor="text1" w:themeTint="BF"/>
    </w:rPr>
  </w:style>
  <w:style w:type="character" w:styleId="172">
    <w:name w:val="Emphasis"/>
    <w:basedOn w:val="148"/>
    <w:uiPriority w:val="20"/>
    <w:qFormat/>
    <w:pPr>
      <w:pBdr/>
      <w:spacing/>
      <w:ind/>
    </w:pPr>
    <w:rPr>
      <w:i/>
      <w:iCs/>
    </w:rPr>
  </w:style>
  <w:style w:type="character" w:styleId="174">
    <w:name w:val="Subtle Reference"/>
    <w:basedOn w:val="148"/>
    <w:uiPriority w:val="31"/>
    <w:qFormat/>
    <w:pPr>
      <w:pBdr/>
      <w:spacing/>
      <w:ind/>
    </w:pPr>
    <w:rPr>
      <w:smallCaps/>
      <w:color w:val="5a5a5a" w:themeColor="text1" w:themeTint="A5"/>
    </w:rPr>
  </w:style>
  <w:style w:type="character" w:styleId="175">
    <w:name w:val="Book Title"/>
    <w:basedOn w:val="148"/>
    <w:uiPriority w:val="33"/>
    <w:qFormat/>
    <w:pPr>
      <w:pBdr/>
      <w:spacing/>
      <w:ind/>
    </w:pPr>
    <w:rPr>
      <w:b/>
      <w:bCs/>
      <w:i/>
      <w:iCs/>
      <w:spacing w:val="5"/>
    </w:rPr>
  </w:style>
  <w:style w:type="paragraph" w:styleId="176">
    <w:name w:val="Header"/>
    <w:basedOn w:val="138"/>
    <w:link w:val="177"/>
    <w:uiPriority w:val="99"/>
    <w:unhideWhenUsed/>
    <w:pPr>
      <w:pBdr/>
      <w:tabs>
        <w:tab w:val="center" w:leader="none" w:pos="4844"/>
        <w:tab w:val="right" w:leader="none" w:pos="9689"/>
      </w:tabs>
      <w:spacing w:after="0" w:line="240" w:lineRule="auto"/>
      <w:ind/>
    </w:pPr>
  </w:style>
  <w:style w:type="character" w:styleId="177">
    <w:name w:val="Header Char"/>
    <w:basedOn w:val="148"/>
    <w:link w:val="176"/>
    <w:uiPriority w:val="99"/>
    <w:pPr>
      <w:pBdr/>
      <w:spacing/>
      <w:ind/>
    </w:pPr>
  </w:style>
  <w:style w:type="paragraph" w:styleId="178">
    <w:name w:val="Footer"/>
    <w:basedOn w:val="138"/>
    <w:link w:val="179"/>
    <w:uiPriority w:val="99"/>
    <w:unhideWhenUsed/>
    <w:pPr>
      <w:pBdr/>
      <w:tabs>
        <w:tab w:val="center" w:leader="none" w:pos="4844"/>
        <w:tab w:val="right" w:leader="none" w:pos="9689"/>
      </w:tabs>
      <w:spacing w:after="0" w:line="240" w:lineRule="auto"/>
      <w:ind/>
    </w:pPr>
  </w:style>
  <w:style w:type="character" w:styleId="179">
    <w:name w:val="Footer Char"/>
    <w:basedOn w:val="148"/>
    <w:link w:val="178"/>
    <w:uiPriority w:val="99"/>
    <w:pPr>
      <w:pBdr/>
      <w:spacing/>
      <w:ind/>
    </w:pPr>
  </w:style>
  <w:style w:type="paragraph" w:styleId="180">
    <w:name w:val="Caption"/>
    <w:basedOn w:val="138"/>
    <w:next w:val="138"/>
    <w:uiPriority w:val="35"/>
    <w:unhideWhenUsed/>
    <w:qFormat/>
    <w:pPr>
      <w:pBdr/>
      <w:spacing w:after="200" w:line="240" w:lineRule="auto"/>
      <w:ind/>
    </w:pPr>
    <w:rPr>
      <w:i/>
      <w:iCs/>
      <w:color w:val="0e2841" w:themeColor="text2"/>
      <w:sz w:val="18"/>
      <w:szCs w:val="18"/>
    </w:rPr>
  </w:style>
  <w:style w:type="character" w:styleId="188">
    <w:name w:val="FollowedHyperlink"/>
    <w:basedOn w:val="148"/>
    <w:uiPriority w:val="99"/>
    <w:semiHidden/>
    <w:unhideWhenUsed/>
    <w:pPr>
      <w:pBdr/>
      <w:spacing/>
      <w:ind/>
    </w:pPr>
    <w:rPr>
      <w:color w:val="954f72" w:themeColor="followedHyperlink"/>
      <w:u w:val="single"/>
    </w:rPr>
  </w:style>
  <w:style w:type="paragraph" w:styleId="189">
    <w:name w:val="toc 1"/>
    <w:basedOn w:val="138"/>
    <w:next w:val="138"/>
    <w:uiPriority w:val="39"/>
    <w:unhideWhenUsed/>
    <w:pPr>
      <w:pBdr/>
      <w:spacing w:after="100"/>
      <w:ind/>
    </w:pPr>
  </w:style>
  <w:style w:type="paragraph" w:styleId="190">
    <w:name w:val="toc 2"/>
    <w:basedOn w:val="138"/>
    <w:next w:val="138"/>
    <w:uiPriority w:val="39"/>
    <w:unhideWhenUsed/>
    <w:pPr>
      <w:pBdr/>
      <w:spacing w:after="100"/>
      <w:ind w:left="220"/>
    </w:pPr>
  </w:style>
  <w:style w:type="paragraph" w:styleId="191">
    <w:name w:val="toc 3"/>
    <w:basedOn w:val="138"/>
    <w:next w:val="138"/>
    <w:uiPriority w:val="39"/>
    <w:unhideWhenUsed/>
    <w:pPr>
      <w:pBdr/>
      <w:spacing w:after="100"/>
      <w:ind w:left="440"/>
    </w:pPr>
  </w:style>
  <w:style w:type="paragraph" w:styleId="192">
    <w:name w:val="toc 4"/>
    <w:basedOn w:val="138"/>
    <w:next w:val="138"/>
    <w:uiPriority w:val="39"/>
    <w:unhideWhenUsed/>
    <w:pPr>
      <w:pBdr/>
      <w:spacing w:after="100"/>
      <w:ind w:left="660"/>
    </w:pPr>
  </w:style>
  <w:style w:type="paragraph" w:styleId="193">
    <w:name w:val="toc 5"/>
    <w:basedOn w:val="138"/>
    <w:next w:val="138"/>
    <w:uiPriority w:val="39"/>
    <w:unhideWhenUsed/>
    <w:pPr>
      <w:pBdr/>
      <w:spacing w:after="100"/>
      <w:ind w:left="880"/>
    </w:pPr>
  </w:style>
  <w:style w:type="paragraph" w:styleId="194">
    <w:name w:val="toc 6"/>
    <w:basedOn w:val="138"/>
    <w:next w:val="138"/>
    <w:uiPriority w:val="39"/>
    <w:unhideWhenUsed/>
    <w:pPr>
      <w:pBdr/>
      <w:spacing w:after="100"/>
      <w:ind w:left="1100"/>
    </w:pPr>
  </w:style>
  <w:style w:type="paragraph" w:styleId="195">
    <w:name w:val="toc 7"/>
    <w:basedOn w:val="138"/>
    <w:next w:val="138"/>
    <w:uiPriority w:val="39"/>
    <w:unhideWhenUsed/>
    <w:pPr>
      <w:pBdr/>
      <w:spacing w:after="100"/>
      <w:ind w:left="1320"/>
    </w:pPr>
  </w:style>
  <w:style w:type="paragraph" w:styleId="196">
    <w:name w:val="toc 8"/>
    <w:basedOn w:val="138"/>
    <w:next w:val="138"/>
    <w:uiPriority w:val="39"/>
    <w:unhideWhenUsed/>
    <w:pPr>
      <w:pBdr/>
      <w:spacing w:after="100"/>
      <w:ind w:left="1540"/>
    </w:pPr>
  </w:style>
  <w:style w:type="paragraph" w:styleId="197">
    <w:name w:val="toc 9"/>
    <w:basedOn w:val="138"/>
    <w:next w:val="138"/>
    <w:uiPriority w:val="39"/>
    <w:unhideWhenUsed/>
    <w:pPr>
      <w:pBdr/>
      <w:spacing w:after="100"/>
      <w:ind w:left="1760"/>
    </w:pPr>
  </w:style>
  <w:style w:type="character" w:styleId="198">
    <w:name w:val="Placeholder Text"/>
    <w:basedOn w:val="148"/>
    <w:uiPriority w:val="99"/>
    <w:semiHidden/>
    <w:pPr>
      <w:pBdr/>
      <w:spacing/>
      <w:ind/>
    </w:pPr>
    <w:rPr>
      <w:color w:val="666666"/>
    </w:rPr>
  </w:style>
  <w:style w:type="paragraph" w:styleId="208">
    <w:name w:val="TOC Heading"/>
    <w:uiPriority w:val="39"/>
    <w:unhideWhenUsed/>
    <w:pPr>
      <w:pBdr/>
      <w:spacing/>
      <w:ind/>
    </w:pPr>
  </w:style>
  <w:style w:type="paragraph" w:styleId="209">
    <w:name w:val="table of figures"/>
    <w:basedOn w:val="138"/>
    <w:next w:val="138"/>
    <w:uiPriority w:val="99"/>
    <w:unhideWhenUsed/>
    <w:pPr>
      <w:pBdr/>
      <w:spacing w:after="0" w:afterAutospacing="0"/>
      <w:ind/>
    </w:pPr>
  </w:style>
  <w:style w:type="paragraph" w:styleId="811">
    <w:name w:val="Title"/>
    <w:qFormat/>
    <w:pPr>
      <w:pBdr/>
      <w:spacing/>
      <w:ind/>
    </w:pPr>
    <w:rPr>
      <w:sz w:val="56"/>
      <w:szCs w:val="56"/>
    </w:rPr>
  </w:style>
  <w:style w:type="paragraph" w:styleId="816">
    <w:name w:val="Heading 5"/>
    <w:qFormat/>
    <w:pPr>
      <w:pBdr/>
      <w:spacing/>
      <w:ind/>
    </w:pPr>
    <w:rPr>
      <w:color w:val="2e74b5"/>
    </w:rPr>
  </w:style>
  <w:style w:type="paragraph" w:styleId="817">
    <w:name w:val="Heading 6"/>
    <w:qFormat/>
    <w:pPr>
      <w:pBdr/>
      <w:spacing/>
      <w:ind/>
    </w:pPr>
    <w:rPr>
      <w:color w:val="1f4d78"/>
    </w:rPr>
  </w:style>
  <w:style w:type="paragraph" w:styleId="818">
    <w:name w:val="Strong"/>
    <w:qFormat/>
    <w:pPr>
      <w:pBdr/>
      <w:spacing/>
      <w:ind/>
    </w:pPr>
    <w:rPr>
      <w:b/>
      <w:bCs/>
    </w:rPr>
  </w:style>
  <w:style w:type="paragraph" w:styleId="819">
    <w:name w:val="List Paragraph"/>
    <w:qFormat/>
    <w:pPr>
      <w:pBdr/>
      <w:spacing/>
      <w:ind/>
    </w:pPr>
  </w:style>
  <w:style w:type="character" w:styleId="820">
    <w:name w:val="Hyperlink"/>
    <w:uiPriority w:val="99"/>
    <w:unhideWhenUsed/>
    <w:pPr>
      <w:pBdr/>
      <w:spacing/>
      <w:ind/>
    </w:pPr>
    <w:rPr>
      <w:color w:val="0563c1"/>
      <w:u w:val="single"/>
    </w:rPr>
  </w:style>
  <w:style w:type="character" w:styleId="821">
    <w:name w:val="footnote reference"/>
    <w:uiPriority w:val="99"/>
    <w:semiHidden/>
    <w:unhideWhenUsed/>
    <w:pPr>
      <w:pBdr/>
      <w:spacing/>
      <w:ind/>
    </w:pPr>
    <w:rPr>
      <w:vertAlign w:val="superscript"/>
    </w:rPr>
  </w:style>
  <w:style w:type="paragraph" w:styleId="822">
    <w:name w:val="footnote text"/>
    <w:link w:val="823"/>
    <w:uiPriority w:val="99"/>
    <w:semiHidden/>
    <w:unhideWhenUsed/>
    <w:pPr>
      <w:pBdr/>
      <w:spacing w:after="0" w:line="240" w:lineRule="auto"/>
      <w:ind/>
    </w:pPr>
    <w:rPr>
      <w:sz w:val="20"/>
      <w:szCs w:val="20"/>
    </w:rPr>
  </w:style>
  <w:style w:type="character" w:styleId="823">
    <w:name w:val="Footnote Text Char"/>
    <w:link w:val="822"/>
    <w:uiPriority w:val="99"/>
    <w:semiHidden/>
    <w:unhideWhenUsed/>
    <w:pPr>
      <w:pBdr/>
      <w:spacing/>
      <w:ind/>
    </w:pPr>
    <w:rPr>
      <w:sz w:val="20"/>
      <w:szCs w:val="20"/>
    </w:rPr>
  </w:style>
  <w:style w:type="character" w:styleId="824">
    <w:name w:val="endnote reference"/>
    <w:uiPriority w:val="99"/>
    <w:semiHidden/>
    <w:unhideWhenUsed/>
    <w:pPr>
      <w:pBdr/>
      <w:spacing/>
      <w:ind/>
    </w:pPr>
    <w:rPr>
      <w:vertAlign w:val="superscript"/>
    </w:rPr>
  </w:style>
  <w:style w:type="paragraph" w:styleId="825">
    <w:name w:val="endnote text"/>
    <w:link w:val="826"/>
    <w:uiPriority w:val="99"/>
    <w:semiHidden/>
    <w:unhideWhenUsed/>
    <w:pPr>
      <w:pBdr/>
      <w:spacing w:after="0" w:line="240" w:lineRule="auto"/>
      <w:ind/>
    </w:pPr>
    <w:rPr>
      <w:sz w:val="20"/>
      <w:szCs w:val="20"/>
    </w:rPr>
  </w:style>
  <w:style w:type="character" w:styleId="826">
    <w:name w:val="Endnote Text Char"/>
    <w:link w:val="825"/>
    <w:uiPriority w:val="99"/>
    <w:semiHidden/>
    <w:unhideWhenUsed/>
    <w:pPr>
      <w:pBdr/>
      <w:spacing/>
      <w:ind/>
    </w:pPr>
    <w:rPr>
      <w:sz w:val="20"/>
      <w:szCs w:val="20"/>
    </w:rPr>
  </w:style>
  <w:style w:type="paragraph" w:styleId="827">
    <w:name w:val="Heading 1"/>
    <w:qFormat/>
    <w:pPr>
      <w:pBdr/>
      <w:spacing w:after="240" w:before="480"/>
      <w:ind/>
      <w:outlineLvl w:val="0"/>
    </w:pPr>
    <w:rPr>
      <w:rFonts w:ascii="Calibri" w:hAnsi="Calibri" w:eastAsia="Calibri" w:cs="Calibri"/>
      <w:b/>
      <w:bCs/>
      <w:color w:val="1f3864"/>
      <w:sz w:val="40"/>
      <w:szCs w:val="40"/>
    </w:rPr>
  </w:style>
  <w:style w:type="paragraph" w:styleId="828">
    <w:name w:val="Heading 2"/>
    <w:qFormat/>
    <w:pPr>
      <w:pBdr/>
      <w:spacing w:after="180" w:before="360"/>
      <w:ind/>
      <w:outlineLvl w:val="1"/>
    </w:pPr>
    <w:rPr>
      <w:rFonts w:ascii="Calibri" w:hAnsi="Calibri" w:eastAsia="Calibri" w:cs="Calibri"/>
      <w:b/>
      <w:bCs/>
      <w:color w:val="2e74b5"/>
      <w:sz w:val="32"/>
      <w:szCs w:val="32"/>
    </w:rPr>
  </w:style>
  <w:style w:type="paragraph" w:styleId="829">
    <w:name w:val="Heading 3"/>
    <w:qFormat/>
    <w:pPr>
      <w:pBdr/>
      <w:spacing w:after="120" w:before="240"/>
      <w:ind/>
      <w:outlineLvl w:val="2"/>
    </w:pPr>
    <w:rPr>
      <w:rFonts w:ascii="Calibri" w:hAnsi="Calibri" w:eastAsia="Calibri" w:cs="Calibri"/>
      <w:b/>
      <w:bCs/>
      <w:color w:val="5b9bd5"/>
      <w:sz w:val="26"/>
      <w:szCs w:val="26"/>
    </w:rPr>
  </w:style>
  <w:style w:type="paragraph" w:styleId="830">
    <w:name w:val="Heading 4"/>
    <w:qFormat/>
    <w:pPr>
      <w:pBdr/>
      <w:spacing w:after="100" w:before="180"/>
      <w:ind/>
      <w:outlineLvl w:val="3"/>
    </w:pPr>
    <w:rPr>
      <w:rFonts w:ascii="Calibri" w:hAnsi="Calibri" w:eastAsia="Calibri" w:cs="Calibri"/>
      <w:b/>
      <w:bCs/>
      <w:i/>
      <w:iCs/>
      <w:color w:val="404040"/>
      <w:sz w:val="24"/>
      <w:szCs w:val="24"/>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footer" Target="footer1.xml" /><Relationship Id="rId11" Type="http://schemas.openxmlformats.org/officeDocument/2006/relationships/image" Target="media/image1.png"/><Relationship Id="rId12" Type="http://schemas.openxmlformats.org/officeDocument/2006/relationships/image" Target="media/image2.png"/><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image" Target="media/image8.png"/><Relationship Id="rId19" Type="http://schemas.openxmlformats.org/officeDocument/2006/relationships/image" Target="media/image9.png"/><Relationship Id="rId20" Type="http://schemas.openxmlformats.org/officeDocument/2006/relationships/image" Target="media/image10.png"/><Relationship Id="rId21" Type="http://schemas.openxmlformats.org/officeDocument/2006/relationships/image" Target="media/image11.png"/><Relationship Id="rId22" Type="http://schemas.openxmlformats.org/officeDocument/2006/relationships/image" Target="media/image12.png"/><Relationship Id="rId23" Type="http://schemas.openxmlformats.org/officeDocument/2006/relationships/image" Target="media/image13.png"/><Relationship Id="rId24" Type="http://schemas.openxmlformats.org/officeDocument/2006/relationships/image" Target="media/image14.png"/><Relationship Id="rId25" Type="http://schemas.openxmlformats.org/officeDocument/2006/relationships/image" Target="media/image15.png"/><Relationship Id="rId26" Type="http://schemas.openxmlformats.org/officeDocument/2006/relationships/image" Target="media/image16.png"/><Relationship Id="rId27" Type="http://schemas.openxmlformats.org/officeDocument/2006/relationships/image" Target="media/image17.png"/><Relationship Id="rId28" Type="http://schemas.openxmlformats.org/officeDocument/2006/relationships/image" Target="media/image18.png"/><Relationship Id="rId29" Type="http://schemas.openxmlformats.org/officeDocument/2006/relationships/image" Target="media/image19.png"/><Relationship Id="rId30" Type="http://schemas.openxmlformats.org/officeDocument/2006/relationships/image" Target="media/image20.png"/><Relationship Id="rId31" Type="http://schemas.openxmlformats.org/officeDocument/2006/relationships/image" Target="media/image21.png"/><Relationship Id="rId32" Type="http://schemas.openxmlformats.org/officeDocument/2006/relationships/image" Target="media/image22.png"/><Relationship Id="rId33" Type="http://schemas.openxmlformats.org/officeDocument/2006/relationships/image" Target="media/image23.png"/><Relationship Id="rId34" Type="http://schemas.openxmlformats.org/officeDocument/2006/relationships/image" Target="media/image24.png"/><Relationship Id="rId35" Type="http://schemas.openxmlformats.org/officeDocument/2006/relationships/image" Target="media/image25.png"/><Relationship Id="rId36" Type="http://schemas.openxmlformats.org/officeDocument/2006/relationships/image" Target="media/image26.png"/><Relationship Id="rId37" Type="http://schemas.openxmlformats.org/officeDocument/2006/relationships/image" Target="media/image27.png"/><Relationship Id="rId38" Type="http://schemas.openxmlformats.org/officeDocument/2006/relationships/image" Target="media/image28.png"/><Relationship Id="rId39" Type="http://schemas.openxmlformats.org/officeDocument/2006/relationships/image" Target="media/image29.png"/><Relationship Id="rId40" Type="http://schemas.openxmlformats.org/officeDocument/2006/relationships/image" Target="media/image30.png"/><Relationship Id="rId41" Type="http://schemas.openxmlformats.org/officeDocument/2006/relationships/image" Target="media/image31.png"/><Relationship Id="rId42" Type="http://schemas.openxmlformats.org/officeDocument/2006/relationships/image" Target="media/image32.pn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s>
</file>

<file path=word/theme/theme1.xml><?xml version="1.0" encoding="utf-8"?>
<a:theme xmlns:a="http://schemas.openxmlformats.org/drawingml/2006/main" xmlns:r="http://schemas.openxmlformats.org/officeDocument/2006/relationships" xmlns:p="http://schemas.openxmlformats.org/presentationml/2006/main" name="">
  <a:themeElements>
    <a:clrScheme nam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
      <a:majorFont>
        <a:latin typeface="Arial"/>
        <a:ea typeface="Arial"/>
        <a:cs typeface="Arial"/>
      </a:majorFont>
      <a:minorFont>
        <a:latin typeface="Arial"/>
        <a:ea typeface="Arial"/>
        <a:cs typeface="Arial"/>
      </a:minorFont>
    </a:fontScheme>
    <a:fmtScheme nam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a:solidFill>
            <a:schemeClr val="phClr">
              <a:shade val="95000"/>
              <a:satMod val="105000"/>
            </a:schemeClr>
          </a:solidFill>
        </a:ln>
        <a:ln w="25400">
          <a:solidFill>
            <a:schemeClr val="phClr"/>
          </a:solidFill>
        </a:ln>
        <a:ln w="38100">
          <a:solidFill>
            <a:schemeClr val="phClr"/>
          </a:solidFill>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rgbClr val="000000"/>
        </a:solidFill>
        <a:solidFill>
          <a:srgbClr val="000000"/>
        </a:solidFill>
      </a:bgFillStyleLst>
    </a:fmtScheme>
  </a:themeElements>
  <a:objectDefaults/>
</a:theme>
</file>

<file path=docProps/app.xml><?xml version="1.0" encoding="utf-8"?>
<Properties xmlns="http://schemas.openxmlformats.org/officeDocument/2006/extended-properties" xmlns:vt="http://schemas.openxmlformats.org/officeDocument/2006/docPropsVTypes">
  <Application>ONLYOFFICE/9.1.0.167</Application>
  <HeadingPairs>
    <vt:vector size="0" baseType="variant"/>
  </HeadingPairs>
  <TitlesOfParts>
    <vt:vector size="0" baseType="lpstr"/>
  </TitlesOfPart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Server Virtualisation Systems - VIRCL Project Documentation</dc:title>
  <dc:creator>Simon Max</dc:creator>
  <dc:description>Implementation and comparison of Proxmox VE and VMware ESXi with High Availability specialisation</dc:description>
  <cp:revision>2</cp:revision>
  <dcterms:created xsi:type="dcterms:W3CDTF">2026-06-10T11:45:53Z</dcterms:created>
  <dcterms:modified xsi:type="dcterms:W3CDTF">2026-06-10T16:32:44Z</dcterms:modified>
</cp:coreProperties>
</file>